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  <w:bookmarkStart w:id="0" w:name="_GoBack"/>
      <w:bookmarkEnd w:id="0"/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F64AED" w:rsidRDefault="00F64AED" w:rsidP="00F64AED">
      <w:pPr>
        <w:spacing w:line="276" w:lineRule="auto"/>
        <w:jc w:val="center"/>
        <w:rPr>
          <w:rFonts w:eastAsia="Calibri"/>
          <w:b/>
          <w:caps/>
          <w:sz w:val="40"/>
          <w:szCs w:val="40"/>
          <w:lang w:eastAsia="en-US"/>
        </w:rPr>
      </w:pPr>
      <w:r w:rsidRPr="00F64AED">
        <w:rPr>
          <w:rFonts w:eastAsia="Calibri"/>
          <w:b/>
          <w:sz w:val="40"/>
          <w:szCs w:val="40"/>
          <w:lang w:eastAsia="en-US"/>
        </w:rPr>
        <w:t>Autóelektronikai műszerész</w:t>
      </w:r>
    </w:p>
    <w:p w:rsidR="00F64AED" w:rsidRPr="00F64AED" w:rsidRDefault="00F64AED" w:rsidP="00F64AED">
      <w:pPr>
        <w:spacing w:line="276" w:lineRule="auto"/>
        <w:jc w:val="center"/>
        <w:rPr>
          <w:sz w:val="40"/>
          <w:szCs w:val="40"/>
        </w:rPr>
      </w:pPr>
      <w:r w:rsidRPr="00F64AED">
        <w:rPr>
          <w:rFonts w:eastAsia="Calibri"/>
          <w:b/>
          <w:sz w:val="40"/>
          <w:szCs w:val="40"/>
          <w:lang w:eastAsia="en-US"/>
        </w:rPr>
        <w:t>14. évfolyam</w:t>
      </w:r>
    </w:p>
    <w:p w:rsidR="00061263" w:rsidRDefault="00061263" w:rsidP="00F64AED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 w:rsidP="00F64A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DF0B11">
        <w:rPr>
          <w:sz w:val="28"/>
          <w:szCs w:val="28"/>
        </w:rPr>
        <w:t xml:space="preserve"> 54 </w:t>
      </w:r>
      <w:r w:rsidR="00F64AED">
        <w:rPr>
          <w:sz w:val="28"/>
          <w:szCs w:val="28"/>
        </w:rPr>
        <w:t>525 01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24540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2454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24540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24540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2454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24540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2454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24540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816"/>
        <w:gridCol w:w="923"/>
        <w:gridCol w:w="656"/>
        <w:gridCol w:w="4656"/>
        <w:gridCol w:w="841"/>
        <w:gridCol w:w="923"/>
        <w:gridCol w:w="1358"/>
      </w:tblGrid>
      <w:tr w:rsidR="00127F49" w:rsidTr="00003570">
        <w:trPr>
          <w:cantSplit/>
          <w:tblHeader/>
        </w:trPr>
        <w:tc>
          <w:tcPr>
            <w:tcW w:w="2395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56" w:type="dxa"/>
            <w:vMerge w:val="restart"/>
            <w:vAlign w:val="center"/>
          </w:tcPr>
          <w:p w:rsidR="00C6286A" w:rsidRPr="00DF0B11" w:rsidRDefault="00512211" w:rsidP="00DF0B1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1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27F49" w:rsidTr="00003570">
        <w:trPr>
          <w:cantSplit/>
          <w:tblHeader/>
        </w:trPr>
        <w:tc>
          <w:tcPr>
            <w:tcW w:w="81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5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27F49" w:rsidTr="00D208FE">
        <w:trPr>
          <w:trHeight w:val="1021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93ACD" w:rsidRPr="00C96D11" w:rsidRDefault="00C96D11" w:rsidP="00090A1B">
            <w:pPr>
              <w:jc w:val="center"/>
              <w:rPr>
                <w:b/>
                <w:sz w:val="28"/>
                <w:szCs w:val="28"/>
              </w:rPr>
            </w:pPr>
            <w:r w:rsidRPr="00C96D11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656" w:type="dxa"/>
            <w:vAlign w:val="center"/>
          </w:tcPr>
          <w:p w:rsidR="00D93ACD" w:rsidRPr="00D104C8" w:rsidRDefault="00D104C8" w:rsidP="00D104C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104C8">
              <w:rPr>
                <w:b/>
                <w:sz w:val="28"/>
                <w:szCs w:val="28"/>
              </w:rPr>
              <w:t>10418-16</w:t>
            </w:r>
          </w:p>
          <w:p w:rsidR="00D104C8" w:rsidRPr="00D104C8" w:rsidRDefault="00D104C8" w:rsidP="00D104C8">
            <w:pPr>
              <w:autoSpaceDE/>
              <w:autoSpaceDN/>
              <w:spacing w:after="12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104C8">
              <w:rPr>
                <w:rFonts w:eastAsia="Calibri"/>
                <w:b/>
                <w:sz w:val="28"/>
                <w:szCs w:val="28"/>
                <w:lang w:eastAsia="en-US"/>
              </w:rPr>
              <w:t>Járműkarbantartás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127F49" w:rsidRPr="00907725" w:rsidTr="00D208FE">
        <w:trPr>
          <w:trHeight w:val="851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3F3D20" w:rsidRPr="00907725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3F3D20" w:rsidRPr="00907725" w:rsidRDefault="00D104C8" w:rsidP="00090A1B">
            <w:pPr>
              <w:jc w:val="center"/>
              <w:rPr>
                <w:sz w:val="24"/>
                <w:szCs w:val="24"/>
              </w:rPr>
            </w:pPr>
            <w:r w:rsidRPr="00907725">
              <w:rPr>
                <w:sz w:val="24"/>
                <w:szCs w:val="24"/>
              </w:rPr>
              <w:t>124</w:t>
            </w:r>
          </w:p>
        </w:tc>
        <w:tc>
          <w:tcPr>
            <w:tcW w:w="4656" w:type="dxa"/>
            <w:vAlign w:val="center"/>
          </w:tcPr>
          <w:p w:rsidR="003F3D20" w:rsidRPr="00907725" w:rsidRDefault="00D104C8" w:rsidP="00D104C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07725">
              <w:rPr>
                <w:rFonts w:eastAsia="Times New Roman"/>
                <w:bCs/>
                <w:color w:val="000000"/>
                <w:sz w:val="24"/>
                <w:szCs w:val="24"/>
              </w:rPr>
              <w:t>Járműkarbantartás gyakorlata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</w:tcPr>
          <w:p w:rsidR="003F3D20" w:rsidRPr="00907725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F49" w:rsidTr="00003570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93ACD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04C8">
              <w:rPr>
                <w:sz w:val="20"/>
                <w:szCs w:val="20"/>
              </w:rPr>
              <w:t>16</w:t>
            </w:r>
          </w:p>
        </w:tc>
        <w:tc>
          <w:tcPr>
            <w:tcW w:w="4656" w:type="dxa"/>
            <w:vAlign w:val="center"/>
          </w:tcPr>
          <w:p w:rsidR="00D93ACD" w:rsidRPr="00D104C8" w:rsidRDefault="00D104C8" w:rsidP="00D104C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104C8">
              <w:rPr>
                <w:rFonts w:eastAsia="Times New Roman"/>
                <w:color w:val="000000"/>
                <w:sz w:val="20"/>
                <w:szCs w:val="20"/>
              </w:rPr>
              <w:t>Dokumentációs ismeretek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04C8"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90A1B" w:rsidRPr="006A1D83" w:rsidRDefault="006A1D83" w:rsidP="00D208F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D83">
              <w:rPr>
                <w:rFonts w:eastAsia="Calibri"/>
                <w:sz w:val="20"/>
                <w:szCs w:val="20"/>
                <w:lang w:eastAsia="en-US"/>
              </w:rPr>
              <w:t>Gépjármű adatbázisok használata.</w:t>
            </w:r>
            <w:r w:rsidR="00A7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A1D83">
              <w:rPr>
                <w:rFonts w:eastAsia="Calibri"/>
                <w:sz w:val="20"/>
                <w:szCs w:val="20"/>
                <w:lang w:eastAsia="en-US"/>
              </w:rPr>
              <w:t>Gépjármű és főegységeinek azonosítása.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</w:t>
            </w:r>
            <w:r w:rsidRPr="006A1D83">
              <w:rPr>
                <w:rFonts w:eastAsia="Calibri"/>
                <w:sz w:val="20"/>
                <w:szCs w:val="20"/>
                <w:lang w:eastAsia="en-US"/>
              </w:rPr>
              <w:t>lvázszám azonosítása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D208F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A1D83">
              <w:rPr>
                <w:rFonts w:eastAsia="Calibri"/>
                <w:sz w:val="20"/>
                <w:szCs w:val="20"/>
                <w:lang w:eastAsia="en-US"/>
              </w:rPr>
              <w:t>motorszám azonosítása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A1D83">
              <w:rPr>
                <w:rFonts w:eastAsia="Calibri"/>
                <w:sz w:val="20"/>
                <w:szCs w:val="20"/>
                <w:lang w:eastAsia="en-US"/>
              </w:rPr>
              <w:t>típusbizonyítvány tartalma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BE282F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6A1D83">
              <w:rPr>
                <w:rFonts w:eastAsia="Calibri"/>
                <w:sz w:val="20"/>
                <w:szCs w:val="20"/>
                <w:lang w:eastAsia="en-US"/>
              </w:rPr>
              <w:t>dott gépjármű beazonosítása, adatainak munkadokumentumba való kinyerése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6A1D83">
              <w:rPr>
                <w:rFonts w:eastAsia="Calibri"/>
                <w:sz w:val="20"/>
                <w:szCs w:val="20"/>
                <w:lang w:eastAsia="en-US"/>
              </w:rPr>
              <w:t>Gyári alkatrész azonosító adatbázisok kezelése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6A1D83">
              <w:rPr>
                <w:rFonts w:eastAsia="Calibri"/>
                <w:sz w:val="20"/>
                <w:szCs w:val="20"/>
                <w:lang w:eastAsia="en-US"/>
              </w:rPr>
              <w:t>Az alkatrész azonosítás logikai sorrendje.</w:t>
            </w:r>
            <w:r w:rsidR="00BE282F">
              <w:rPr>
                <w:rFonts w:eastAsia="Calibri"/>
                <w:sz w:val="20"/>
                <w:szCs w:val="20"/>
                <w:lang w:eastAsia="en-US"/>
              </w:rPr>
              <w:t xml:space="preserve"> Autóvillamossági kapcsolási r</w:t>
            </w:r>
            <w:r w:rsidR="00BE282F" w:rsidRPr="006A1D83">
              <w:rPr>
                <w:rFonts w:eastAsia="Calibri"/>
                <w:sz w:val="20"/>
                <w:szCs w:val="20"/>
                <w:lang w:eastAsia="en-US"/>
              </w:rPr>
              <w:t>ajz és adatgyűjtemények használata</w:t>
            </w:r>
            <w:r w:rsidR="00BE282F"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="00BE282F" w:rsidRPr="00BE282F">
              <w:rPr>
                <w:rFonts w:eastAsia="Calibri"/>
                <w:sz w:val="20"/>
                <w:szCs w:val="20"/>
                <w:lang w:eastAsia="en-US"/>
              </w:rPr>
              <w:t>dott gépjármű villamos hálózatának beazonosítása a villamos kap</w:t>
            </w:r>
            <w:r w:rsidR="00BE282F">
              <w:rPr>
                <w:rFonts w:eastAsia="Calibri"/>
                <w:sz w:val="20"/>
                <w:szCs w:val="20"/>
                <w:lang w:eastAsia="en-US"/>
              </w:rPr>
              <w:t>csolási r</w:t>
            </w:r>
            <w:r w:rsidR="00BE282F" w:rsidRPr="00BE282F">
              <w:rPr>
                <w:rFonts w:eastAsia="Calibri"/>
                <w:sz w:val="20"/>
                <w:szCs w:val="20"/>
                <w:lang w:eastAsia="en-US"/>
              </w:rPr>
              <w:t>ajza alapján</w:t>
            </w:r>
            <w:r w:rsidR="00BE282F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6" w:type="dxa"/>
            <w:vAlign w:val="center"/>
          </w:tcPr>
          <w:p w:rsidR="00D93ACD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04C8"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D93ACD" w:rsidRPr="00BE282F" w:rsidRDefault="00BE282F" w:rsidP="00BE282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E282F">
              <w:rPr>
                <w:rFonts w:eastAsia="Calibri"/>
                <w:sz w:val="20"/>
                <w:szCs w:val="20"/>
                <w:lang w:eastAsia="en-US"/>
              </w:rPr>
              <w:t>Járműjavítási utasítások kezelése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E282F">
              <w:rPr>
                <w:rFonts w:eastAsia="Calibri"/>
                <w:sz w:val="20"/>
                <w:szCs w:val="20"/>
                <w:lang w:eastAsia="en-US"/>
              </w:rPr>
              <w:t>Futómű-</w:t>
            </w:r>
            <w:r w:rsidR="00A74806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BE282F">
              <w:rPr>
                <w:rFonts w:eastAsia="Calibri"/>
                <w:sz w:val="20"/>
                <w:szCs w:val="20"/>
                <w:lang w:eastAsia="en-US"/>
              </w:rPr>
              <w:t xml:space="preserve"> járműkerék és gumiabroncs adatbázisok kezelése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BE282F">
              <w:rPr>
                <w:rFonts w:eastAsia="Calibri"/>
                <w:sz w:val="20"/>
                <w:szCs w:val="20"/>
                <w:lang w:eastAsia="en-US"/>
              </w:rPr>
              <w:t xml:space="preserve"> Gépjármű kárfelvételi, biztosítási és értékesítési dokumentációi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A7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gépjármű és fődarabjai</w:t>
            </w:r>
            <w:r w:rsidRPr="00BE282F">
              <w:rPr>
                <w:rFonts w:eastAsia="Calibri"/>
                <w:sz w:val="20"/>
                <w:szCs w:val="20"/>
                <w:lang w:eastAsia="en-US"/>
              </w:rPr>
              <w:t xml:space="preserve"> bontási technológiájának dokumentációi. A jármű javításával kapcsolatos dokumentumok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58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127F49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D104C8" w:rsidRPr="00AA2B5E" w:rsidRDefault="00D104C8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56" w:type="dxa"/>
            <w:vAlign w:val="center"/>
          </w:tcPr>
          <w:p w:rsidR="00D104C8" w:rsidRPr="00D104C8" w:rsidRDefault="00D104C8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04C8">
              <w:rPr>
                <w:rFonts w:eastAsia="Times New Roman"/>
                <w:color w:val="000000"/>
                <w:sz w:val="20"/>
                <w:szCs w:val="20"/>
              </w:rPr>
              <w:t>Ápolási és szervizműveletek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D104C8" w:rsidRPr="00AA2B5E" w:rsidRDefault="00D104C8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90A1B" w:rsidRPr="00DA2864" w:rsidRDefault="000C5016" w:rsidP="00DA286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5016">
              <w:rPr>
                <w:rFonts w:eastAsia="Calibri"/>
                <w:sz w:val="20"/>
                <w:szCs w:val="20"/>
                <w:lang w:eastAsia="en-US"/>
              </w:rPr>
              <w:t>Ápolási műveletek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 A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lsómosás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felsőmosás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motormosás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belső kárpittisztítás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kenési műveletek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különféle szintellenőrzések és utántöltések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különböző folyadékok és tulajdonságaik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90A1B" w:rsidRPr="00DA2864" w:rsidRDefault="00DA2864" w:rsidP="00DA286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A2864">
              <w:rPr>
                <w:rFonts w:eastAsia="Calibri"/>
                <w:sz w:val="20"/>
                <w:szCs w:val="20"/>
                <w:lang w:eastAsia="en-US"/>
              </w:rPr>
              <w:t>Szervizműveletek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A7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„0” revízió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garanciális felülvizsgálatok,</w:t>
            </w:r>
            <w:r w:rsidR="00A7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időszakos karbantartási vizsgálatok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garancián túli vizsgálatok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esetenkénti felülvizsgálatok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rendszeres felülvizsgálatok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napi gondozás, vagy vizsgálat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szemleműveletek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D104C8" w:rsidRPr="00DA2864" w:rsidRDefault="00DA2864" w:rsidP="00DA286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A2864">
              <w:rPr>
                <w:rFonts w:eastAsia="Calibri"/>
                <w:sz w:val="20"/>
                <w:szCs w:val="20"/>
                <w:lang w:eastAsia="en-US"/>
              </w:rPr>
              <w:t>Karbantartási ütemterv</w:t>
            </w:r>
            <w:r>
              <w:rPr>
                <w:rFonts w:eastAsia="Calibri"/>
                <w:sz w:val="20"/>
                <w:szCs w:val="20"/>
                <w:lang w:eastAsia="en-US"/>
              </w:rPr>
              <w:t>. G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yártmányi előírások (kisszerviz – nagyszerviz)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főellenőrzés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jármű - a földön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teljesen felemelve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félig felemelve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műveletek a motortérben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utolsó tételek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a jármű forgalombiztonsági ellenőrzése</w:t>
            </w:r>
            <w:r w:rsidR="00A7480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D104C8" w:rsidRPr="00DA2864" w:rsidRDefault="00DA2864" w:rsidP="00C4362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A2864">
              <w:rPr>
                <w:rFonts w:eastAsia="Calibri"/>
                <w:sz w:val="20"/>
                <w:szCs w:val="20"/>
                <w:lang w:eastAsia="en-US"/>
              </w:rPr>
              <w:t>Tevékenység: ellenőrzés, szakvéleményezés, beállítás, feltöltés, kenés és csere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Vezérmű fogazott szíj vagy vezérmű lánc csereperiódusa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A7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43622" w:rsidRPr="00DA2864">
              <w:rPr>
                <w:rFonts w:eastAsia="Calibri"/>
                <w:sz w:val="20"/>
                <w:szCs w:val="20"/>
                <w:lang w:eastAsia="en-US"/>
              </w:rPr>
              <w:t>Karbantartási illusztrációk:</w:t>
            </w:r>
            <w:r w:rsidR="00A7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43622" w:rsidRPr="00DA2864">
              <w:rPr>
                <w:rFonts w:eastAsia="Calibri"/>
                <w:sz w:val="20"/>
                <w:szCs w:val="20"/>
                <w:lang w:eastAsia="en-US"/>
              </w:rPr>
              <w:t>leeresztő- és feltöltő helyek</w:t>
            </w:r>
            <w:r w:rsidR="00C4362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C43622" w:rsidRPr="00DA2864">
              <w:rPr>
                <w:rFonts w:eastAsia="Calibri"/>
                <w:sz w:val="20"/>
                <w:szCs w:val="20"/>
                <w:lang w:eastAsia="en-US"/>
              </w:rPr>
              <w:t>emelési pontok</w:t>
            </w:r>
            <w:r w:rsidR="00C4362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C43622" w:rsidRPr="00DA2864">
              <w:rPr>
                <w:rFonts w:eastAsia="Calibri"/>
                <w:sz w:val="20"/>
                <w:szCs w:val="20"/>
                <w:lang w:eastAsia="en-US"/>
              </w:rPr>
              <w:t>szíjvezetés</w:t>
            </w:r>
            <w:r w:rsidR="00C4362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C43622" w:rsidRPr="00DA2864">
              <w:rPr>
                <w:rFonts w:eastAsia="Calibri"/>
                <w:sz w:val="20"/>
                <w:szCs w:val="20"/>
                <w:lang w:eastAsia="en-US"/>
              </w:rPr>
              <w:t>utastérszűr</w:t>
            </w:r>
            <w:r w:rsidR="00C43622">
              <w:rPr>
                <w:rFonts w:eastAsia="Calibri"/>
                <w:sz w:val="20"/>
                <w:szCs w:val="20"/>
                <w:lang w:eastAsia="en-US"/>
              </w:rPr>
              <w:t xml:space="preserve">ő, </w:t>
            </w:r>
            <w:r w:rsidR="00C43622" w:rsidRPr="00DA2864">
              <w:rPr>
                <w:rFonts w:eastAsia="Calibri"/>
                <w:sz w:val="20"/>
                <w:szCs w:val="20"/>
                <w:lang w:eastAsia="en-US"/>
              </w:rPr>
              <w:t>a légkondicionáló berendezés szervizcsatlakozásai</w:t>
            </w:r>
            <w:r w:rsidR="00C4362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C43622" w:rsidRPr="00DA2864">
              <w:rPr>
                <w:rFonts w:eastAsia="Calibri"/>
                <w:sz w:val="20"/>
                <w:szCs w:val="20"/>
                <w:lang w:eastAsia="en-US"/>
              </w:rPr>
              <w:t>kiegészítő karbantartási pozíciók</w:t>
            </w:r>
            <w:r w:rsidR="00C4362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6" w:type="dxa"/>
          </w:tcPr>
          <w:p w:rsidR="00D104C8" w:rsidRPr="00C43622" w:rsidRDefault="00C43622" w:rsidP="00C4362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="00DA2864" w:rsidRPr="00DA2864">
              <w:rPr>
                <w:rFonts w:eastAsia="Calibri"/>
                <w:sz w:val="20"/>
                <w:szCs w:val="20"/>
                <w:lang w:eastAsia="en-US"/>
              </w:rPr>
              <w:t>arbantartás jelző visszaállítása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DA2864" w:rsidRPr="00DA2864">
              <w:rPr>
                <w:rFonts w:eastAsia="Calibri"/>
                <w:sz w:val="20"/>
                <w:szCs w:val="20"/>
                <w:lang w:eastAsia="en-US"/>
              </w:rPr>
              <w:t>akkumulátor lekötésének és csatlakoztatásának előírásai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DA2864" w:rsidRPr="00DA2864">
              <w:rPr>
                <w:rFonts w:eastAsia="Calibri"/>
                <w:sz w:val="20"/>
                <w:szCs w:val="20"/>
                <w:lang w:eastAsia="en-US"/>
              </w:rPr>
              <w:t>elektromos rögzítőfék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DA2864" w:rsidRPr="00DA2864">
              <w:rPr>
                <w:rFonts w:eastAsia="Calibri"/>
                <w:sz w:val="20"/>
                <w:szCs w:val="20"/>
                <w:lang w:eastAsia="en-US"/>
              </w:rPr>
              <w:t>abroncsméretek és nyomásértékek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DA2864" w:rsidRPr="00DA2864">
              <w:rPr>
                <w:rFonts w:eastAsia="Calibri"/>
                <w:sz w:val="20"/>
                <w:szCs w:val="20"/>
                <w:lang w:eastAsia="en-US"/>
              </w:rPr>
              <w:t>gumiabroncsnyomás ellenőrző rendszer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DA2864" w:rsidRPr="00DA2864">
              <w:rPr>
                <w:rFonts w:eastAsia="Calibri"/>
                <w:sz w:val="20"/>
                <w:szCs w:val="20"/>
                <w:lang w:eastAsia="en-US"/>
              </w:rPr>
              <w:t>kulcsok programozása, illesztése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</w:tr>
      <w:tr w:rsidR="00127F49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D104C8" w:rsidRPr="00AA2B5E" w:rsidRDefault="00D104C8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56" w:type="dxa"/>
            <w:vAlign w:val="center"/>
          </w:tcPr>
          <w:p w:rsidR="00D104C8" w:rsidRPr="00D104C8" w:rsidRDefault="00D104C8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04C8">
              <w:rPr>
                <w:rFonts w:eastAsia="Times New Roman"/>
                <w:color w:val="000000"/>
                <w:sz w:val="20"/>
                <w:szCs w:val="20"/>
              </w:rPr>
              <w:t>Gépkocsi vizsgálati műveletek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D104C8" w:rsidRPr="00AA2B5E" w:rsidRDefault="00D104C8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6" w:type="dxa"/>
          </w:tcPr>
          <w:p w:rsidR="00D104C8" w:rsidRPr="001E55D1" w:rsidRDefault="001E55D1" w:rsidP="001E55D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Hatósági felülvizsgálat. Rendeletek, előírások, szabályzatok, utasítások elemzése. KÖHÉM rendeletek, egyéb előírások.</w:t>
            </w:r>
          </w:p>
        </w:tc>
        <w:tc>
          <w:tcPr>
            <w:tcW w:w="841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D104C8" w:rsidRPr="001E55D1" w:rsidRDefault="001E55D1" w:rsidP="001E55D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Forgalmi engedély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Fogalom meghatározások</w:t>
            </w:r>
            <w:r w:rsidR="00A7480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járműkategóriák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műszaki jellemzők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Típusbizonyítvány</w:t>
            </w:r>
            <w:r>
              <w:rPr>
                <w:rFonts w:eastAsia="Calibri"/>
                <w:sz w:val="20"/>
                <w:szCs w:val="20"/>
                <w:lang w:eastAsia="en-US"/>
              </w:rPr>
              <w:t>. Járművek összeépítése</w:t>
            </w:r>
            <w:r w:rsidR="00A74806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Gépjárművek és ezek pótkocsijára vonatkozó egyedi műszaki vizsgálatok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D104C8" w:rsidRPr="001E55D1" w:rsidRDefault="001E55D1" w:rsidP="001E55D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Időszakos vizsgálat, érvényességi idő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Járműalkatrészek, tartozékok jóváhagyása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forgalomba helyezés előtti és az időszakos vizsgálat általános technológiája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Az általános technológia vizsgálati tárgya, köre, az alkalmazott követelmények, eszközök és módszerek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Minősítés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D104C8" w:rsidRPr="001E55D1" w:rsidRDefault="001E55D1" w:rsidP="001E55D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Egyes járművizsgálatok ré</w:t>
            </w:r>
            <w:r w:rsidR="00A74806">
              <w:rPr>
                <w:rFonts w:eastAsia="Calibri"/>
                <w:sz w:val="20"/>
                <w:szCs w:val="20"/>
                <w:lang w:eastAsia="en-US"/>
              </w:rPr>
              <w:t xml:space="preserve">szletes technológiai műveletei: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fékberendezés görgős fékerőmérő próbapadon történő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gépjármű fényszóró ellenőrzésének művelete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gépkocsik lengéscsillapítás vizsgálatának technológiai műveletei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 szélvédőjének és ablakainak fényáteresztő képessége vizsgálatának technológiai műveletei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D104C8" w:rsidRPr="00D104C8" w:rsidRDefault="001E55D1" w:rsidP="001E55D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Egyes járművizsgálatok ré</w:t>
            </w:r>
            <w:r w:rsidR="00A74806">
              <w:rPr>
                <w:rFonts w:eastAsia="Calibri"/>
                <w:sz w:val="20"/>
                <w:szCs w:val="20"/>
                <w:lang w:eastAsia="en-US"/>
              </w:rPr>
              <w:t xml:space="preserve">szletes technológiai műveletei: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fékberendezés görgős fékerőmérő próbapadon történő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gépjármű fényszóró ellenőrzésének művelete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gépkocsik lengéscsillapítás vizsgálatának technológiai műveletei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 szélvédőjének és ablakainak fényáteresztő képessége vizsgálatának technológiai műveletei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D104C8" w:rsidRPr="00D104C8" w:rsidRDefault="001E55D1" w:rsidP="001E55D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Egyes járművizsgálatok ré</w:t>
            </w:r>
            <w:r w:rsidR="00A74806">
              <w:rPr>
                <w:rFonts w:eastAsia="Calibri"/>
                <w:sz w:val="20"/>
                <w:szCs w:val="20"/>
                <w:lang w:eastAsia="en-US"/>
              </w:rPr>
              <w:t xml:space="preserve">szletes technológiai műveletei: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fékberendezés görgős fékerőmérő próbapadon történő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gépjármű fényszóró ellenőrzésének művelete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gépkocsik lengéscsillapítás vizsgálatának technológiai műveletei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 szélvédőjének és ablakainak fényáteresztő képessége vizsgálatának technológiai műveletei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D104C8" w:rsidRPr="001E55D1" w:rsidRDefault="001E55D1" w:rsidP="001E55D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 kipufogógáz szennyezőanyag-tartalmának vizsgálata:</w:t>
            </w:r>
            <w:r w:rsidR="00D73BA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Otto-motoros gépkocsik kipufogógáz szennyezőanyag-tartalom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dízelmotoros gépkocsik füstkibocsátás mérése</w:t>
            </w:r>
            <w:r w:rsidR="00D73BA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D104C8" w:rsidRPr="00D104C8" w:rsidRDefault="001E55D1" w:rsidP="001E55D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 kipufogógáz szennyezőanyag-tartalmának vizsgálata:</w:t>
            </w:r>
            <w:r w:rsidR="00D73BA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Otto-motoros gépkocsik kipufogógáz szennyezőanyag-tartalom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dízelmotoros gépkocsik füstkibocsátás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D104C8" w:rsidRPr="00D104C8" w:rsidRDefault="001E55D1" w:rsidP="001E55D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 kipufogógáz szennyezőanyag-tartalmának vizsgálata:</w:t>
            </w:r>
            <w:r w:rsidR="00D73BA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Otto-motoros gépkocsik kipufogógáz szennyezőanyag-tartalom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dízelmotoros gépkocsik füstkibocsátás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közeltéri</w:t>
            </w:r>
            <w:r w:rsidR="00CF73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zajszintmérés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futómű holtjátékvizsgáló berendezés használata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4C8" w:rsidRPr="00AA2B5E" w:rsidRDefault="00D104C8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104C8" w:rsidRPr="00D104C8" w:rsidRDefault="00D104C8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6" w:type="dxa"/>
          </w:tcPr>
          <w:p w:rsidR="00D104C8" w:rsidRPr="001E55D1" w:rsidRDefault="001E55D1" w:rsidP="001E55D1">
            <w:pPr>
              <w:tabs>
                <w:tab w:val="left" w:pos="1418"/>
                <w:tab w:val="right" w:pos="9072"/>
              </w:tabs>
              <w:autoSpaceDE/>
              <w:autoSpaceDN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A Tanúsítvány tartalma, kitöltése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Műszaki adatlap tartalma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 xml:space="preserve"> A gépjármű tanúsításának végrehajtása, gyakorlása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104C8" w:rsidRPr="00AA2B5E" w:rsidRDefault="00D104C8" w:rsidP="001411B8">
            <w:pPr>
              <w:jc w:val="center"/>
              <w:rPr>
                <w:b/>
              </w:rPr>
            </w:pPr>
          </w:p>
        </w:tc>
      </w:tr>
      <w:tr w:rsidR="00127F49" w:rsidRPr="00AA2B5E" w:rsidTr="00D208FE">
        <w:trPr>
          <w:trHeight w:val="1021"/>
        </w:trPr>
        <w:tc>
          <w:tcPr>
            <w:tcW w:w="1739" w:type="dxa"/>
            <w:gridSpan w:val="2"/>
            <w:shd w:val="clear" w:color="auto" w:fill="BFBF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64B0B" w:rsidRPr="00D104C8" w:rsidRDefault="00264B0B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6" w:type="dxa"/>
            <w:vAlign w:val="center"/>
          </w:tcPr>
          <w:p w:rsidR="00DF0B11" w:rsidRDefault="00D104C8" w:rsidP="00DF0B1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104C8">
              <w:rPr>
                <w:rFonts w:eastAsia="Times New Roman"/>
                <w:b/>
                <w:color w:val="000000"/>
                <w:sz w:val="28"/>
                <w:szCs w:val="28"/>
              </w:rPr>
              <w:t>10419-12</w:t>
            </w:r>
          </w:p>
          <w:p w:rsidR="00264B0B" w:rsidRPr="00D104C8" w:rsidRDefault="00D104C8" w:rsidP="00DF0B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104C8">
              <w:rPr>
                <w:rFonts w:eastAsia="Times New Roman"/>
                <w:b/>
                <w:color w:val="000000"/>
                <w:sz w:val="28"/>
                <w:szCs w:val="28"/>
              </w:rPr>
              <w:t>Járműszerkezetek javítása</w:t>
            </w:r>
          </w:p>
        </w:tc>
        <w:tc>
          <w:tcPr>
            <w:tcW w:w="3122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127F49" w:rsidRPr="00907725" w:rsidTr="00D208FE">
        <w:trPr>
          <w:trHeight w:val="851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D104C8" w:rsidRPr="00907725" w:rsidRDefault="00D104C8" w:rsidP="00DF0B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D104C8" w:rsidRPr="00907725" w:rsidRDefault="00C96D11" w:rsidP="00DF0B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725">
              <w:rPr>
                <w:sz w:val="24"/>
                <w:szCs w:val="24"/>
              </w:rPr>
              <w:t>93</w:t>
            </w:r>
          </w:p>
        </w:tc>
        <w:tc>
          <w:tcPr>
            <w:tcW w:w="4656" w:type="dxa"/>
            <w:vAlign w:val="center"/>
          </w:tcPr>
          <w:p w:rsidR="00D104C8" w:rsidRPr="00907725" w:rsidRDefault="00C96D11" w:rsidP="00DF0B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725">
              <w:rPr>
                <w:rFonts w:eastAsia="Times New Roman"/>
                <w:bCs/>
                <w:color w:val="000000"/>
                <w:sz w:val="24"/>
                <w:szCs w:val="24"/>
              </w:rPr>
              <w:t>Járműszerkezetek javítása gyakorlat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D104C8" w:rsidRPr="00907725" w:rsidRDefault="00D104C8" w:rsidP="00DF0B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F49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C96D11" w:rsidRPr="00AA2B5E" w:rsidRDefault="00C96D11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C96D11" w:rsidRPr="00D104C8" w:rsidRDefault="00262B2B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56" w:type="dxa"/>
            <w:vAlign w:val="center"/>
          </w:tcPr>
          <w:p w:rsidR="00C96D11" w:rsidRPr="00C96D11" w:rsidRDefault="00C96D11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6D11">
              <w:rPr>
                <w:rFonts w:eastAsia="Times New Roman"/>
                <w:color w:val="000000"/>
                <w:sz w:val="20"/>
                <w:szCs w:val="20"/>
              </w:rPr>
              <w:t>Motorok javítása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C96D11" w:rsidRPr="00AA2B5E" w:rsidRDefault="00C96D11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D104C8" w:rsidRDefault="00C96D11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6" w:type="dxa"/>
          </w:tcPr>
          <w:p w:rsidR="00090A1B" w:rsidRPr="000C791E" w:rsidRDefault="000C791E" w:rsidP="00D73BAD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791E">
              <w:rPr>
                <w:rFonts w:eastAsia="Calibri"/>
                <w:sz w:val="20"/>
                <w:szCs w:val="20"/>
                <w:lang w:eastAsia="en-US"/>
              </w:rPr>
              <w:t>Motorok ki- és beszerelése,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 xml:space="preserve"> motorok szétszerelése, hiba felvételezése,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hengertömb (forgattyús ház) ellenőrzése,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hengerhüvely hiba felvételezése,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hengerhüvely felújítási lehetőségek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hengerek fúrása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hengerek köszörülése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D73BA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hengerek hónolása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D104C8" w:rsidRDefault="00C96D11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90A1B" w:rsidRPr="00D104C8" w:rsidRDefault="000C791E" w:rsidP="00D73BAD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0C791E">
              <w:rPr>
                <w:rFonts w:eastAsia="Calibri"/>
                <w:sz w:val="20"/>
                <w:szCs w:val="20"/>
                <w:lang w:eastAsia="en-US"/>
              </w:rPr>
              <w:t>Motorok ki- és beszerelése,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 xml:space="preserve"> motorok szétszerelése, hiba felvételezése,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hengertömb (forgattyús ház) ellenőrzése,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hengerhüvely hiba felvételezése,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hengerhüvely felújítási lehetőségek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hengerek fúrása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hengerek köszörülése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D73BA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hengerek hónolása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D104C8" w:rsidRDefault="00C96D11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90A1B" w:rsidRPr="000C791E" w:rsidRDefault="000C791E" w:rsidP="00D73BAD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791E">
              <w:rPr>
                <w:rFonts w:eastAsia="Calibri"/>
                <w:sz w:val="20"/>
                <w:szCs w:val="20"/>
                <w:lang w:eastAsia="en-US"/>
              </w:rPr>
              <w:t>Dugattyú és hajtórudak hiba felvételezése,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D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ugattyúátmérő, súlykülönbségek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dugattyú és henger illesztési hézag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dugattyú és csapszeg illesztési hézag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dugattyúgyűrűk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D73BA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dugattyú gyűrűhorony illesztési hézag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szerelési hézag ellenőrzése a gyűrűvégeknél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hajtórúd méretének és alakhelyességének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hajtórúd javítási lehetőségei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dugattyúcsapszeg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 xml:space="preserve">a hajtórúd – csapszeg </w:t>
            </w:r>
            <w:r w:rsidR="00D73BAD" w:rsidRPr="000C791E">
              <w:rPr>
                <w:rFonts w:eastAsia="Calibri"/>
                <w:sz w:val="20"/>
                <w:szCs w:val="20"/>
                <w:lang w:eastAsia="en-US"/>
              </w:rPr>
              <w:t>–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 xml:space="preserve"> dugattyú csoport szét- és összeszerelése,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hajtórúd csapágyak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D104C8" w:rsidRDefault="00C96D11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90A1B" w:rsidRPr="000C791E" w:rsidRDefault="000C791E" w:rsidP="000C791E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791E">
              <w:rPr>
                <w:rFonts w:eastAsia="Calibri"/>
                <w:sz w:val="20"/>
                <w:szCs w:val="20"/>
                <w:lang w:eastAsia="en-US"/>
              </w:rPr>
              <w:t>Forgattyús tengely és csapjainak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éret, és alakhelyesség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felújítási lehetőségek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lendítőkerék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csapágyazások ellenőrzése,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791E">
              <w:rPr>
                <w:rFonts w:eastAsia="Calibri"/>
                <w:sz w:val="20"/>
                <w:szCs w:val="20"/>
                <w:lang w:eastAsia="en-US"/>
              </w:rPr>
              <w:t>a forgattyús tengely axiális hézagának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D104C8" w:rsidRDefault="00C96D11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262B2B" w:rsidRDefault="00262B2B" w:rsidP="00262B2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2B2B">
              <w:rPr>
                <w:rFonts w:eastAsia="Calibri"/>
                <w:sz w:val="20"/>
                <w:szCs w:val="20"/>
                <w:lang w:eastAsia="en-US"/>
              </w:rPr>
              <w:t>Hengerfej és a szelepek ellenőrzése,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 xml:space="preserve"> hengerfej le- és felszerelése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szét- és összeszerelése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a hengerfej javítási lehetőségei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a szelepülések ellenőrzése és csiszolása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a szelepek ellenőrzése, javítási lehetőségei, csiszolása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a szelepzárás, tömítettség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a szelepvezető perselyek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a szelepszár játékának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a szeleprugók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a szelepemelő berendezés egyéb elemei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D104C8" w:rsidRDefault="00C96D11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262B2B" w:rsidRDefault="00262B2B" w:rsidP="00262B2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2B2B">
              <w:rPr>
                <w:rFonts w:eastAsia="Calibri"/>
                <w:sz w:val="20"/>
                <w:szCs w:val="20"/>
                <w:lang w:eastAsia="en-US"/>
              </w:rPr>
              <w:t>Vezérműtengely és hajtóelemeinek ellenőrzése és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 xml:space="preserve"> vezérműtengely csapágyháza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 xml:space="preserve"> vezérműtengely meghajtása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szíjhajtás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lánchajtás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fogaskerékhajtás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a vezérlés szét- és összeszerelése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szíj- és láncfeszítők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a szelephézag ellenőrzése, beállítása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62B2B">
              <w:rPr>
                <w:rFonts w:eastAsia="Calibri"/>
                <w:sz w:val="20"/>
                <w:szCs w:val="20"/>
                <w:lang w:eastAsia="en-US"/>
              </w:rPr>
              <w:t>a hidraulikus szelephézag-kiegyenlítő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C96D11" w:rsidRPr="00AA2B5E" w:rsidRDefault="00C96D11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C96D11" w:rsidRPr="00D104C8" w:rsidRDefault="00C96D11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56" w:type="dxa"/>
            <w:vAlign w:val="center"/>
          </w:tcPr>
          <w:p w:rsidR="00C96D11" w:rsidRPr="00C96D11" w:rsidRDefault="00C96D11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6D11">
              <w:rPr>
                <w:rFonts w:eastAsia="Times New Roman"/>
                <w:color w:val="000000"/>
                <w:sz w:val="20"/>
                <w:szCs w:val="20"/>
              </w:rPr>
              <w:t>Tüzelőanyag-ellátó rendszerek javítása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C96D11" w:rsidRPr="00AA2B5E" w:rsidRDefault="00C96D11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262B2B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4B24E2" w:rsidRDefault="004B24E2" w:rsidP="004B24E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B24E2">
              <w:rPr>
                <w:rFonts w:eastAsia="Calibri"/>
                <w:sz w:val="20"/>
                <w:szCs w:val="20"/>
                <w:lang w:eastAsia="en-US"/>
              </w:rPr>
              <w:t>Motorok tüzelőanyag-ellátó rendszereinek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 xml:space="preserve"> karburátor beszabályozási, javítási munkái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a tüzelőanyag szivattyúk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benzinbefecskendező rendszerek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központi befecskendező rendszerek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hengerenkénti befecskendező rendszerek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közvetlen befecskendezésű rendszerek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befecskendezési nyomás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érzékelők, jeladók és beavatkozók ellenőrzése, cseréje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C96D11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6D11"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4B24E2" w:rsidRDefault="004B24E2" w:rsidP="004B24E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B24E2">
              <w:rPr>
                <w:rFonts w:eastAsia="Calibri"/>
                <w:sz w:val="20"/>
                <w:szCs w:val="20"/>
                <w:lang w:eastAsia="en-US"/>
              </w:rPr>
              <w:t>Dízelbefecskendező berendezések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T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üzelőanyag szűrő és előmelegítő rendszer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tüzelőanyag rendszer légtelenítése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Befecskendező fúvókák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befecskendező fúvókák szét- és összeszerelése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befecskendező fúvókák javítása, beállítása, visszaszerelése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A befecskendezőszivattyúk javítása, szállításkezdetének ellenőrzése, beállítása (statikus, dinamikus)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C96D11" w:rsidP="00D104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6D11"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331E10" w:rsidRDefault="004B24E2" w:rsidP="00331E1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B24E2">
              <w:rPr>
                <w:rFonts w:eastAsia="Calibri"/>
                <w:sz w:val="20"/>
                <w:szCs w:val="20"/>
                <w:lang w:eastAsia="en-US"/>
              </w:rPr>
              <w:t>Korszerű befecskendező rendszerek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özös nyomásterű dízelbefecskendező rendszer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szivattyú-porlasztó egység (PDE)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B24E2">
              <w:rPr>
                <w:rFonts w:eastAsia="Calibri"/>
                <w:sz w:val="20"/>
                <w:szCs w:val="20"/>
                <w:lang w:eastAsia="en-US"/>
              </w:rPr>
              <w:t>elektronikus szabályozású, axiál, radiál dugattyús, forgóelosztós adagoló</w:t>
            </w:r>
            <w:r w:rsidR="00331E1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C96D11" w:rsidRPr="00AA2B5E" w:rsidRDefault="00C96D11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C96D11" w:rsidRPr="00D104C8" w:rsidRDefault="00C96D11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56" w:type="dxa"/>
            <w:vAlign w:val="center"/>
          </w:tcPr>
          <w:p w:rsidR="00C96D11" w:rsidRPr="00C96D11" w:rsidRDefault="00C96D11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6D11">
              <w:rPr>
                <w:rFonts w:eastAsia="Times New Roman"/>
                <w:color w:val="000000"/>
                <w:sz w:val="20"/>
                <w:szCs w:val="20"/>
              </w:rPr>
              <w:t>Levegő és feltöltő rendszer javítása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C96D11" w:rsidRPr="00AA2B5E" w:rsidRDefault="00C96D11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262B2B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331E10" w:rsidRDefault="00331E10" w:rsidP="00331E1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31E10">
              <w:rPr>
                <w:rFonts w:eastAsia="Calibri"/>
                <w:sz w:val="20"/>
                <w:szCs w:val="20"/>
                <w:lang w:eastAsia="en-US"/>
              </w:rPr>
              <w:t>A motorok levegőrendszerének ellenőrzése,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A levegőrendszer tömítetlenségi vizsgálata, hibák helyreállítása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Fojtószelep-egység szerelése, javítása, beállítása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pótlevegő tolattyú ellenőrzése, szerelése, cseréje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mechanikus, elektromechanikus fojtószelep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villamos működtetésű fojtószelep állító ellenőrzése, cseréje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pneumatikus, elektronikus működtetésű szívócső levegőterelő szerkezetek ellenőrzése, cseréje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léptetőmotoros alapjárati fordulatszám szabályozó ellenőrzése, cseréje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szabályozó mechanizmusok vizsgálata,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262B2B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6" w:type="dxa"/>
          </w:tcPr>
          <w:p w:rsidR="000B709F" w:rsidRPr="00331E10" w:rsidRDefault="00331E10" w:rsidP="009A50F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31E10">
              <w:rPr>
                <w:rFonts w:eastAsia="Calibri"/>
                <w:sz w:val="20"/>
                <w:szCs w:val="20"/>
                <w:lang w:eastAsia="en-US"/>
              </w:rPr>
              <w:t>Szekunder levegő rendszer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zekunderlevegő szivattyú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szelep,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levegőrendszer</w:t>
            </w:r>
            <w:r>
              <w:rPr>
                <w:rFonts w:eastAsia="Calibri"/>
                <w:sz w:val="20"/>
                <w:szCs w:val="20"/>
                <w:lang w:eastAsia="en-US"/>
              </w:rPr>
              <w:t>. E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lektronikus vezérlés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Feltöltő rendszerek és szerkezetek szerelése,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echanikus feltöltő rendszerek (Roots-fúvó, stb.)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kipufogógáz turbófeltöltő rendszerek és elemeik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9A50F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hőcserélő rendszerek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feltöltő nyomás szabályozó rendszer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31E10">
              <w:rPr>
                <w:rFonts w:eastAsia="Calibri"/>
                <w:sz w:val="20"/>
                <w:szCs w:val="20"/>
                <w:lang w:eastAsia="en-US"/>
              </w:rPr>
              <w:t>elektronikus vezérlés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262B2B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262B2B" w:rsidRPr="00AA2B5E" w:rsidRDefault="00262B2B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62B2B" w:rsidRPr="00C96D11" w:rsidRDefault="004B24E2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56" w:type="dxa"/>
            <w:vAlign w:val="center"/>
          </w:tcPr>
          <w:p w:rsidR="00262B2B" w:rsidRPr="00C96D11" w:rsidRDefault="00262B2B" w:rsidP="00DF0B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96D11">
              <w:rPr>
                <w:rFonts w:eastAsia="Times New Roman"/>
                <w:color w:val="000000"/>
                <w:sz w:val="20"/>
                <w:szCs w:val="20"/>
              </w:rPr>
              <w:t>Emisszió rendszer javítása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262B2B" w:rsidRPr="00AA2B5E" w:rsidRDefault="00262B2B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262B2B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6" w:type="dxa"/>
          </w:tcPr>
          <w:p w:rsidR="000B709F" w:rsidRPr="00B34427" w:rsidRDefault="00B34427" w:rsidP="00B3442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34427">
              <w:rPr>
                <w:rFonts w:eastAsia="Calibri"/>
                <w:sz w:val="20"/>
                <w:szCs w:val="20"/>
                <w:lang w:eastAsia="en-US"/>
              </w:rPr>
              <w:t>Kipufogó és katalizátorrendszer ellenőrzése, javítási lehetőségek, szerelési műveletek, alkatrészcserék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Lambda szonda ki és beszerelése, cseréje, speciális szerelési eljárások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Kipufogórendszerben elhelyezett jeladók vizsgálata, ki és beszerelése, cseréje, speciális szerelési eljárások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C96D11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B34427" w:rsidRDefault="00B34427" w:rsidP="00B3442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34427">
              <w:rPr>
                <w:rFonts w:eastAsia="Calibri"/>
                <w:sz w:val="20"/>
                <w:szCs w:val="20"/>
                <w:lang w:eastAsia="en-US"/>
              </w:rPr>
              <w:t>Kipufogógáz visszavezető rendszer alkatrészeinek vizsgálata, a rendszer működőképességének ellenőrzése, alkatrészcserék. Tömítettség ellenőrzés, javítások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Tüzelőanyagtartály-szellőztető rendszer vizsgálata, működőképességének ellenőrzése, alkatrészcserék. Tömítettség ellenőrzés, javítások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Részecskeszűrő rendszer regenerálása. A részecskeszűrő le és felszerelési műveletei, tisztítási műveletek, eljárások.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4B24E2" w:rsidRPr="00AA2B5E" w:rsidRDefault="004B24E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B24E2" w:rsidRPr="00AA2B5E" w:rsidRDefault="004B24E2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4B24E2" w:rsidRDefault="004B24E2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6" w:type="dxa"/>
          </w:tcPr>
          <w:p w:rsidR="004B24E2" w:rsidRPr="00D208FE" w:rsidRDefault="00B34427" w:rsidP="00D208FE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34427">
              <w:rPr>
                <w:rFonts w:eastAsia="Calibri"/>
                <w:sz w:val="20"/>
                <w:szCs w:val="20"/>
                <w:lang w:eastAsia="en-US"/>
              </w:rPr>
              <w:t>SCR rendszerek vizsgálata, szerelési műveletek, alkatrészcserék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4B24E2" w:rsidRPr="00AA2B5E" w:rsidRDefault="004B24E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B24E2" w:rsidRPr="00AA2B5E" w:rsidRDefault="004B24E2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B24E2" w:rsidRPr="00AA2B5E" w:rsidRDefault="004B24E2" w:rsidP="001411B8">
            <w:pPr>
              <w:jc w:val="center"/>
              <w:rPr>
                <w:b/>
              </w:rPr>
            </w:pPr>
          </w:p>
        </w:tc>
      </w:tr>
      <w:tr w:rsidR="00127F49" w:rsidRPr="00907725" w:rsidTr="00D208FE">
        <w:trPr>
          <w:trHeight w:val="851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C96D11" w:rsidRPr="00907725" w:rsidRDefault="00C96D11" w:rsidP="00DF0B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C96D11" w:rsidRPr="00907725" w:rsidRDefault="00003570" w:rsidP="00DF0B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725">
              <w:rPr>
                <w:sz w:val="24"/>
                <w:szCs w:val="24"/>
              </w:rPr>
              <w:t>62</w:t>
            </w:r>
          </w:p>
        </w:tc>
        <w:tc>
          <w:tcPr>
            <w:tcW w:w="4656" w:type="dxa"/>
            <w:vAlign w:val="center"/>
          </w:tcPr>
          <w:p w:rsidR="00C96D11" w:rsidRPr="00907725" w:rsidRDefault="00003570" w:rsidP="00DF0B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725">
              <w:rPr>
                <w:rFonts w:eastAsia="Times New Roman"/>
                <w:bCs/>
                <w:color w:val="000000"/>
                <w:sz w:val="24"/>
                <w:szCs w:val="24"/>
              </w:rPr>
              <w:t>Járműdiagnosztika gyakorlata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C96D11" w:rsidRPr="00907725" w:rsidRDefault="00C96D11" w:rsidP="00DF0B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F49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C96D11" w:rsidRPr="00AA2B5E" w:rsidRDefault="00C96D11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C96D11" w:rsidRPr="00C96D11" w:rsidRDefault="00003570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56" w:type="dxa"/>
            <w:vAlign w:val="center"/>
          </w:tcPr>
          <w:p w:rsidR="00C96D11" w:rsidRPr="00003570" w:rsidRDefault="00003570" w:rsidP="00DF0B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3570">
              <w:rPr>
                <w:rFonts w:eastAsia="Times New Roman"/>
                <w:color w:val="000000"/>
                <w:sz w:val="20"/>
                <w:szCs w:val="20"/>
              </w:rPr>
              <w:t>Levegő és emisszió rendszerek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C96D11" w:rsidRPr="00AA2B5E" w:rsidRDefault="00C96D11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C96D11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6" w:type="dxa"/>
          </w:tcPr>
          <w:p w:rsidR="000B709F" w:rsidRPr="00B34427" w:rsidRDefault="00B34427" w:rsidP="00B344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34427">
              <w:rPr>
                <w:rFonts w:eastAsia="Calibri"/>
                <w:sz w:val="20"/>
                <w:szCs w:val="20"/>
                <w:lang w:eastAsia="en-US"/>
              </w:rPr>
              <w:t>Feltöltő rendszerek és szerkezetek diagnosztikája. A kipufogórendszer vizsgálata és javítása. Fojtószelep-egység diagnosztikája.</w:t>
            </w:r>
            <w:r w:rsidR="009A50F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Szekunder levegő rendszer diagnosztikája.</w:t>
            </w:r>
            <w:r w:rsidR="009A50F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OBD, EOBD fedélzeti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003570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6" w:type="dxa"/>
          </w:tcPr>
          <w:p w:rsidR="000B709F" w:rsidRPr="00B34427" w:rsidRDefault="00B34427" w:rsidP="009A50F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34427">
              <w:rPr>
                <w:rFonts w:eastAsia="Calibri"/>
                <w:sz w:val="20"/>
                <w:szCs w:val="20"/>
                <w:lang w:eastAsia="en-US"/>
              </w:rPr>
              <w:t xml:space="preserve">Az Otto-motorok gázelemzése. Gépkocsik felülvizsgálata, gázemisszió-diagnosztika, CO - korrigált mérés, ΔHC </w:t>
            </w:r>
            <w:r w:rsidR="009A50F4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 xml:space="preserve"> mérés.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003570" w:rsidRPr="00AA2B5E" w:rsidRDefault="00003570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03570" w:rsidRPr="00C96D11" w:rsidRDefault="00003570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56" w:type="dxa"/>
            <w:vAlign w:val="center"/>
          </w:tcPr>
          <w:p w:rsidR="00003570" w:rsidRPr="00003570" w:rsidRDefault="00003570" w:rsidP="00DF0B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3570">
              <w:rPr>
                <w:rFonts w:eastAsia="Times New Roman"/>
                <w:color w:val="000000"/>
                <w:sz w:val="20"/>
                <w:szCs w:val="20"/>
              </w:rPr>
              <w:t>Erőátviteli berendezések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003570" w:rsidRPr="00AA2B5E" w:rsidRDefault="00003570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C96D11" w:rsidRDefault="00003570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56" w:type="dxa"/>
          </w:tcPr>
          <w:p w:rsidR="00090A1B" w:rsidRPr="00127F49" w:rsidRDefault="00B34427" w:rsidP="00127F4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34427">
              <w:rPr>
                <w:rFonts w:eastAsia="Calibri"/>
                <w:sz w:val="20"/>
                <w:szCs w:val="20"/>
                <w:lang w:eastAsia="en-US"/>
              </w:rPr>
              <w:t>Tengelykapcsoló szerkezetek diagnosztikája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 xml:space="preserve"> tengelykapcsoló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működtetése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N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yomó</w:t>
            </w:r>
            <w:r>
              <w:rPr>
                <w:rFonts w:eastAsia="Calibri"/>
                <w:sz w:val="20"/>
                <w:szCs w:val="20"/>
                <w:lang w:eastAsia="en-US"/>
              </w:rPr>
              <w:t>, húzó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 xml:space="preserve"> működtetésű tengelykapcsoló szerkezet</w:t>
            </w:r>
            <w:r w:rsidR="00127F49">
              <w:rPr>
                <w:rFonts w:eastAsia="Calibri"/>
                <w:sz w:val="20"/>
                <w:szCs w:val="20"/>
                <w:lang w:eastAsia="en-US"/>
              </w:rPr>
              <w:t>. Automatikus után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állítású tengelykapcsoló</w:t>
            </w:r>
            <w:r w:rsidR="00127F49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 xml:space="preserve"> önműködő tengelykapcsolók</w:t>
            </w:r>
            <w:r w:rsidR="00127F49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Nyomatékváltó vizsgálata</w:t>
            </w:r>
            <w:r w:rsidR="00127F49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olajszint ellenőrzés</w:t>
            </w:r>
            <w:r w:rsidR="00127F49">
              <w:rPr>
                <w:rFonts w:eastAsia="Calibri"/>
                <w:sz w:val="20"/>
                <w:szCs w:val="20"/>
                <w:lang w:eastAsia="en-US"/>
              </w:rPr>
              <w:t>. H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ibatábl</w:t>
            </w:r>
            <w:r w:rsidR="00127F49">
              <w:rPr>
                <w:rFonts w:eastAsia="Calibri"/>
                <w:sz w:val="20"/>
                <w:szCs w:val="20"/>
                <w:lang w:eastAsia="en-US"/>
              </w:rPr>
              <w:t xml:space="preserve">ázatok. 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Automata nyomatékváltó</w:t>
            </w:r>
            <w:r w:rsidR="00127F49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a hajtómű folyadékszintjének ellenőrzése</w:t>
            </w:r>
            <w:r w:rsidR="00127F49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34427">
              <w:rPr>
                <w:rFonts w:eastAsia="Calibri"/>
                <w:sz w:val="20"/>
                <w:szCs w:val="20"/>
                <w:lang w:eastAsia="en-US"/>
              </w:rPr>
              <w:t>az automatikus hajtómű hibatáblázata</w:t>
            </w:r>
            <w:r w:rsidR="00127F4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03570" w:rsidRDefault="00003570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56" w:type="dxa"/>
          </w:tcPr>
          <w:p w:rsidR="00003570" w:rsidRPr="00127F49" w:rsidRDefault="00127F49" w:rsidP="00127F4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27F49">
              <w:rPr>
                <w:rFonts w:eastAsia="Calibri"/>
                <w:sz w:val="20"/>
                <w:szCs w:val="20"/>
                <w:lang w:eastAsia="en-US"/>
              </w:rPr>
              <w:t>Kardánhajtás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 xml:space="preserve"> kiegyensúlyozás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 xml:space="preserve"> közbenső csapágyazás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Féltengelycsuklók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Kiegyenlítőművek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úpkerekes homlokkerekes kiegyenlítőmű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apcsolható kiegyenlítőmű-zár, önzáró kiegyenlítőművek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</w:tr>
      <w:tr w:rsidR="00127F49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003570" w:rsidRPr="00AA2B5E" w:rsidRDefault="00003570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03570" w:rsidRDefault="00003570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56" w:type="dxa"/>
            <w:vAlign w:val="center"/>
          </w:tcPr>
          <w:p w:rsidR="00003570" w:rsidRPr="00003570" w:rsidRDefault="00003570" w:rsidP="00DF0B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3570">
              <w:rPr>
                <w:rFonts w:eastAsia="Times New Roman"/>
                <w:color w:val="000000"/>
                <w:sz w:val="20"/>
                <w:szCs w:val="20"/>
              </w:rPr>
              <w:t>Futómű, fék és kormányberendezés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003570" w:rsidRPr="00AA2B5E" w:rsidRDefault="00003570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03570" w:rsidRDefault="00003570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6" w:type="dxa"/>
          </w:tcPr>
          <w:p w:rsidR="00003570" w:rsidRPr="00AA2B5E" w:rsidRDefault="00127F49" w:rsidP="00127F4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b/>
              </w:rPr>
            </w:pPr>
            <w:r w:rsidRPr="00127F49">
              <w:rPr>
                <w:rFonts w:eastAsia="Calibri"/>
                <w:sz w:val="20"/>
                <w:szCs w:val="20"/>
                <w:lang w:eastAsia="en-US"/>
              </w:rPr>
              <w:t>Fékberendezések diagnosztikai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z M1, N1 kategóriájú gépkocsik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 xml:space="preserve"> a nemzetközi forgalomban használt M2 és M3 kategóriájú légfékes személyszállító gépkocsik (autóbuszok) időszakos vizsgálatánál alkalmazandó, a légfékberendezés működőképességének megállapítására irányuló vizsgálat technológiája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03570" w:rsidRDefault="00003570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6" w:type="dxa"/>
          </w:tcPr>
          <w:p w:rsidR="00003570" w:rsidRPr="00127F49" w:rsidRDefault="00127F49" w:rsidP="00127F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27F49">
              <w:rPr>
                <w:rFonts w:eastAsia="Calibri"/>
                <w:sz w:val="20"/>
                <w:szCs w:val="20"/>
                <w:lang w:eastAsia="en-US"/>
              </w:rPr>
              <w:t>Lengéscsillapító-diagnosztika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.Lengéscsillapító 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vizsgálat a gépjármű ejtésével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 xml:space="preserve"> a kerék lengetésével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a dinamikus talperő-ingadozás mérése (EUSAMA)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Futómű-diagnosztika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Futóművek bemérése, 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keréktárcsa ütés-kompenzáció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futómű 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különleges mérési eljárások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mérőműszerek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 xml:space="preserve"> hidraulikus rendszerek diagnosztikája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zárt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és nyitott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 xml:space="preserve"> rendszerű hidraulikus körök ellenőrző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127F49">
              <w:rPr>
                <w:rFonts w:eastAsia="Calibri"/>
                <w:sz w:val="20"/>
                <w:szCs w:val="20"/>
                <w:lang w:eastAsia="en-US"/>
              </w:rPr>
              <w:t>zervokormány-diagnosztika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</w:tr>
      <w:tr w:rsidR="00127F49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003570" w:rsidRPr="00AA2B5E" w:rsidRDefault="00003570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03570" w:rsidRDefault="00003570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6" w:type="dxa"/>
            <w:vAlign w:val="center"/>
          </w:tcPr>
          <w:p w:rsidR="00003570" w:rsidRPr="00003570" w:rsidRDefault="00003570" w:rsidP="00DF0B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3570">
              <w:rPr>
                <w:rFonts w:eastAsia="Times New Roman"/>
                <w:color w:val="000000"/>
                <w:sz w:val="20"/>
                <w:szCs w:val="20"/>
              </w:rPr>
              <w:t>Hűtő- és kenő rendszerek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003570" w:rsidRPr="00AA2B5E" w:rsidRDefault="00003570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03570" w:rsidRDefault="00003570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6" w:type="dxa"/>
          </w:tcPr>
          <w:p w:rsidR="00003570" w:rsidRPr="004A3094" w:rsidRDefault="003B147E" w:rsidP="009A50F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147E">
              <w:rPr>
                <w:rFonts w:eastAsia="Calibri"/>
                <w:sz w:val="20"/>
                <w:szCs w:val="20"/>
                <w:lang w:eastAsia="en-US"/>
              </w:rPr>
              <w:t>A motorok hűtőrendszerének diagnosztikája.</w:t>
            </w:r>
            <w:r w:rsidR="009A50F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B147E">
              <w:rPr>
                <w:rFonts w:eastAsia="Calibri"/>
                <w:sz w:val="20"/>
                <w:szCs w:val="20"/>
                <w:lang w:eastAsia="en-US"/>
              </w:rPr>
              <w:t>A léghűtés rendszerek, a folyadékhűtés rendszerek.</w:t>
            </w:r>
            <w:r w:rsidR="009A50F4">
              <w:rPr>
                <w:rFonts w:eastAsia="Calibri"/>
                <w:sz w:val="20"/>
                <w:szCs w:val="20"/>
                <w:lang w:eastAsia="en-US"/>
              </w:rPr>
              <w:t xml:space="preserve"> A</w:t>
            </w:r>
            <w:r w:rsidRPr="003B147E">
              <w:rPr>
                <w:rFonts w:eastAsia="Calibri"/>
                <w:sz w:val="20"/>
                <w:szCs w:val="20"/>
                <w:lang w:eastAsia="en-US"/>
              </w:rPr>
              <w:t xml:space="preserve"> hű</w:t>
            </w:r>
            <w:r w:rsidR="004A3094">
              <w:rPr>
                <w:rFonts w:eastAsia="Calibri"/>
                <w:sz w:val="20"/>
                <w:szCs w:val="20"/>
                <w:lang w:eastAsia="en-US"/>
              </w:rPr>
              <w:t xml:space="preserve">tés intenzitás szabályozásának </w:t>
            </w:r>
            <w:r w:rsidRPr="003B147E">
              <w:rPr>
                <w:rFonts w:eastAsia="Calibri"/>
                <w:sz w:val="20"/>
                <w:szCs w:val="20"/>
                <w:lang w:eastAsia="en-US"/>
              </w:rPr>
              <w:t>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03570" w:rsidRDefault="00003570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56" w:type="dxa"/>
          </w:tcPr>
          <w:p w:rsidR="00003570" w:rsidRPr="004A3094" w:rsidRDefault="004A3094" w:rsidP="004A309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3B147E">
              <w:rPr>
                <w:rFonts w:eastAsia="Calibri"/>
                <w:sz w:val="20"/>
                <w:szCs w:val="20"/>
                <w:lang w:eastAsia="en-US"/>
              </w:rPr>
              <w:t xml:space="preserve"> ventil</w:t>
            </w:r>
            <w:r>
              <w:rPr>
                <w:rFonts w:eastAsia="Calibri"/>
                <w:sz w:val="20"/>
                <w:szCs w:val="20"/>
                <w:lang w:eastAsia="en-US"/>
              </w:rPr>
              <w:t>l</w:t>
            </w:r>
            <w:r w:rsidRPr="003B147E">
              <w:rPr>
                <w:rFonts w:eastAsia="Calibri"/>
                <w:sz w:val="20"/>
                <w:szCs w:val="20"/>
                <w:lang w:eastAsia="en-US"/>
              </w:rPr>
              <w:t>átor viszko-tengelykapcsoló és táguló anyagos termosztát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4A3094">
              <w:rPr>
                <w:rFonts w:eastAsia="Calibri"/>
                <w:sz w:val="20"/>
                <w:szCs w:val="20"/>
                <w:lang w:eastAsia="en-US"/>
              </w:rPr>
              <w:t>A motorok kenése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4A3094">
              <w:rPr>
                <w:rFonts w:eastAsia="Calibri"/>
                <w:sz w:val="20"/>
                <w:szCs w:val="20"/>
                <w:lang w:eastAsia="en-US"/>
              </w:rPr>
              <w:t xml:space="preserve"> motor kenésrendszerének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A3094">
              <w:rPr>
                <w:rFonts w:eastAsia="Calibri"/>
                <w:sz w:val="20"/>
                <w:szCs w:val="20"/>
                <w:lang w:eastAsia="en-US"/>
              </w:rPr>
              <w:t>szivattyús nyomóolajozás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A3094">
              <w:rPr>
                <w:rFonts w:eastAsia="Calibri"/>
                <w:sz w:val="20"/>
                <w:szCs w:val="20"/>
                <w:lang w:eastAsia="en-US"/>
              </w:rPr>
              <w:t>szárazteknős nyomóolajozás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</w:tr>
      <w:tr w:rsidR="00127F49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003570" w:rsidRPr="00AA2B5E" w:rsidRDefault="00003570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03570" w:rsidRDefault="00F81293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56" w:type="dxa"/>
            <w:vAlign w:val="center"/>
          </w:tcPr>
          <w:p w:rsidR="00003570" w:rsidRPr="00F81293" w:rsidRDefault="00F81293" w:rsidP="00DF0B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81293">
              <w:rPr>
                <w:rFonts w:eastAsia="Times New Roman"/>
                <w:color w:val="000000"/>
                <w:sz w:val="20"/>
                <w:szCs w:val="20"/>
              </w:rPr>
              <w:t>Tüzelőanyag-ellátó rendszerek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003570" w:rsidRPr="00AA2B5E" w:rsidRDefault="00003570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03570" w:rsidRDefault="00003570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6" w:type="dxa"/>
          </w:tcPr>
          <w:p w:rsidR="00003570" w:rsidRPr="00BC646B" w:rsidRDefault="00BC646B" w:rsidP="00BC6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46B">
              <w:rPr>
                <w:rFonts w:eastAsia="Calibri"/>
                <w:sz w:val="20"/>
                <w:szCs w:val="20"/>
                <w:lang w:eastAsia="en-US"/>
              </w:rPr>
              <w:t>Motorok tüzelőanyag-ellátó rendszereinek diagnosztikája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 xml:space="preserve"> karburátor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 xml:space="preserve"> a tüzelőanyag szivattyúk ellenőrzési munkái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benzinbefecskendez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ő rendszerek, 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központi befecskendező rendszerek diagnosztikája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 xml:space="preserve"> hengerenkénti befecskendező rendszerek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 xml:space="preserve"> közvetlen befecskendezésű rendszerek diagnosztikája</w:t>
            </w:r>
            <w:r>
              <w:rPr>
                <w:rFonts w:eastAsia="Calibri"/>
                <w:sz w:val="20"/>
                <w:szCs w:val="20"/>
                <w:lang w:eastAsia="en-US"/>
              </w:rPr>
              <w:t>. É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rzékelők, jeladók és beavatkozók diagnosztikai munkái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3570" w:rsidRPr="00AA2B5E" w:rsidRDefault="00003570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03570" w:rsidRDefault="00F81293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6" w:type="dxa"/>
          </w:tcPr>
          <w:p w:rsidR="00003570" w:rsidRPr="00BC646B" w:rsidRDefault="00BC646B" w:rsidP="009A50F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46B">
              <w:rPr>
                <w:rFonts w:eastAsia="Calibri"/>
                <w:sz w:val="20"/>
                <w:szCs w:val="20"/>
                <w:lang w:eastAsia="en-US"/>
              </w:rPr>
              <w:t>Dízelbefecskendező berendezések diagnosztikája</w:t>
            </w:r>
            <w:r>
              <w:rPr>
                <w:rFonts w:eastAsia="Calibri"/>
                <w:sz w:val="20"/>
                <w:szCs w:val="20"/>
                <w:lang w:eastAsia="en-US"/>
              </w:rPr>
              <w:t>. T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üzelőanyag szűrő és előmelegítő rendszer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9A50F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Befecskendező fúvókák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9A50F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befecskendezőszivattyúk,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 xml:space="preserve"> korszerű befecskendező rendszerek diagnosztikája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özös nyomásterű dízelbefecskendező rendszer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zivattyú-porlasztó egység (PDE) diagnosztikája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elektronikus szabályozású, axiál, radiál dugattyús, forgóelosztós adagolók diagnosztikája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03570" w:rsidRPr="00AA2B5E" w:rsidRDefault="00003570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64B0B" w:rsidRPr="00F81293" w:rsidRDefault="00F81293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1293">
              <w:rPr>
                <w:sz w:val="20"/>
                <w:szCs w:val="20"/>
              </w:rPr>
              <w:t>16</w:t>
            </w:r>
          </w:p>
        </w:tc>
        <w:tc>
          <w:tcPr>
            <w:tcW w:w="4656" w:type="dxa"/>
            <w:vAlign w:val="center"/>
          </w:tcPr>
          <w:p w:rsidR="00264B0B" w:rsidRPr="00F81293" w:rsidRDefault="00F81293" w:rsidP="00F812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81293">
              <w:rPr>
                <w:rFonts w:eastAsia="Times New Roman"/>
                <w:color w:val="000000"/>
                <w:sz w:val="20"/>
                <w:szCs w:val="20"/>
              </w:rPr>
              <w:t>Menetdinamikai rendszerek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64B0B" w:rsidRPr="00C96D11" w:rsidRDefault="00F81293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6" w:type="dxa"/>
          </w:tcPr>
          <w:p w:rsidR="00264B0B" w:rsidRPr="00BC646B" w:rsidRDefault="00BC646B" w:rsidP="00BC6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46B">
              <w:rPr>
                <w:rFonts w:eastAsia="Calibri"/>
                <w:sz w:val="20"/>
                <w:szCs w:val="20"/>
                <w:lang w:eastAsia="en-US"/>
              </w:rPr>
              <w:t>A jármű elektronikusan irányított, működtetett mechanikai rendszereinek (pl. szervokormány, felfüggesztési rendszer, kézifék, stb.) ellenőrzése, beszabályozása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F81293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AA2B5E" w:rsidRDefault="00BC646B" w:rsidP="00BC646B">
            <w:pPr>
              <w:spacing w:line="276" w:lineRule="auto"/>
              <w:jc w:val="both"/>
              <w:rPr>
                <w:b/>
              </w:rPr>
            </w:pPr>
            <w:r w:rsidRPr="00BC646B">
              <w:rPr>
                <w:rFonts w:eastAsia="Calibri"/>
                <w:sz w:val="20"/>
                <w:szCs w:val="20"/>
                <w:lang w:eastAsia="en-US"/>
              </w:rPr>
              <w:t>A jármű elektronikusan irányított, működtetett mechanikai rendszereinek (pl. szervokormány, felfüggesztési rendszer, kézifék, stb.) ellenőrzése, beszabályozása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Irányított rendszerek diagnosztikai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F81293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6" w:type="dxa"/>
          </w:tcPr>
          <w:p w:rsidR="000B709F" w:rsidRPr="00BC646B" w:rsidRDefault="00BC646B" w:rsidP="00BC646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oros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>. E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llenőrzési feladatcsoportok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a rendszer teszterek és a diagnosztikai csatlakozó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vezető tájékoztatás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a fedélzeti diagnosztika áramkörvizsgálata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P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árhuzamos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beavatkozó teszt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46B">
              <w:rPr>
                <w:rFonts w:eastAsia="Calibri"/>
                <w:sz w:val="20"/>
                <w:szCs w:val="20"/>
                <w:lang w:eastAsia="en-US"/>
              </w:rPr>
              <w:t>periféria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907725">
        <w:trPr>
          <w:trHeight w:val="1021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F81293" w:rsidRPr="00AA2B5E" w:rsidRDefault="00F81293" w:rsidP="00907725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F81293" w:rsidRPr="00B16FAA" w:rsidRDefault="00B16FAA" w:rsidP="009077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16FAA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656" w:type="dxa"/>
            <w:vAlign w:val="center"/>
          </w:tcPr>
          <w:p w:rsidR="00DF0B11" w:rsidRDefault="00F81293" w:rsidP="0090772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F81293">
              <w:rPr>
                <w:rFonts w:eastAsia="Times New Roman"/>
                <w:b/>
                <w:color w:val="000000"/>
                <w:sz w:val="28"/>
                <w:szCs w:val="28"/>
              </w:rPr>
              <w:t>10420-12</w:t>
            </w:r>
          </w:p>
          <w:p w:rsidR="00F81293" w:rsidRPr="00F81293" w:rsidRDefault="00F81293" w:rsidP="009077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1293">
              <w:rPr>
                <w:rFonts w:eastAsia="Times New Roman"/>
                <w:b/>
                <w:color w:val="000000"/>
                <w:sz w:val="28"/>
                <w:szCs w:val="28"/>
              </w:rPr>
              <w:t>Autóelektronikai műszerész feladatai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F81293" w:rsidRPr="00AA2B5E" w:rsidRDefault="00F81293" w:rsidP="00907725">
            <w:pPr>
              <w:jc w:val="center"/>
              <w:rPr>
                <w:b/>
              </w:rPr>
            </w:pPr>
          </w:p>
        </w:tc>
      </w:tr>
      <w:tr w:rsidR="00127F49" w:rsidRPr="00907725" w:rsidTr="00D208FE">
        <w:trPr>
          <w:trHeight w:val="851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F81293" w:rsidRPr="00907725" w:rsidRDefault="00F81293" w:rsidP="00DF0B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81293" w:rsidRPr="00907725" w:rsidRDefault="00F81293" w:rsidP="00DF0B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725">
              <w:rPr>
                <w:sz w:val="24"/>
                <w:szCs w:val="24"/>
              </w:rPr>
              <w:t>93</w:t>
            </w:r>
          </w:p>
        </w:tc>
        <w:tc>
          <w:tcPr>
            <w:tcW w:w="4656" w:type="dxa"/>
            <w:vAlign w:val="center"/>
          </w:tcPr>
          <w:p w:rsidR="00F81293" w:rsidRPr="00907725" w:rsidRDefault="00F81293" w:rsidP="00DF0B11">
            <w:pPr>
              <w:jc w:val="center"/>
              <w:rPr>
                <w:sz w:val="24"/>
                <w:szCs w:val="24"/>
              </w:rPr>
            </w:pPr>
            <w:r w:rsidRPr="00907725">
              <w:rPr>
                <w:rFonts w:eastAsia="Times New Roman"/>
                <w:bCs/>
                <w:color w:val="000000"/>
                <w:sz w:val="24"/>
                <w:szCs w:val="24"/>
              </w:rPr>
              <w:t>Autóelektronika diagnosztikai gyakorlat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F81293" w:rsidRPr="00907725" w:rsidRDefault="00F81293" w:rsidP="00DF0B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F49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F81293" w:rsidRPr="00AA2B5E" w:rsidRDefault="00F81293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F81293" w:rsidRPr="00C96D11" w:rsidRDefault="00F81293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56" w:type="dxa"/>
            <w:vAlign w:val="center"/>
          </w:tcPr>
          <w:p w:rsidR="00F81293" w:rsidRPr="00F81293" w:rsidRDefault="00F81293" w:rsidP="00DF0B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81293">
              <w:rPr>
                <w:rFonts w:eastAsia="Times New Roman"/>
                <w:color w:val="000000"/>
                <w:sz w:val="20"/>
                <w:szCs w:val="20"/>
              </w:rPr>
              <w:t>Villamos hálózati-, energia-, indító- és világítási rendszer diagnosztikai vizsgálata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F81293" w:rsidRPr="00AA2B5E" w:rsidRDefault="00F81293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F81293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6" w:type="dxa"/>
          </w:tcPr>
          <w:p w:rsidR="000B709F" w:rsidRPr="0068724B" w:rsidRDefault="006C66A4" w:rsidP="00373A9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C66A4">
              <w:rPr>
                <w:rFonts w:eastAsia="Calibri"/>
                <w:sz w:val="20"/>
                <w:szCs w:val="20"/>
                <w:lang w:eastAsia="en-US"/>
              </w:rPr>
              <w:t>Soros adatkommunikációs rendszereken végzett diagnosztikai vizsgálatok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>CAN hálózatok diagnosztikai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>a hálózatra vonatkozó hibakódok olvasása – törlése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 xml:space="preserve"> ellenállás és feszültségmérések a CAN hálózatban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>oszcilloszkópos vizsgálatok</w:t>
            </w:r>
            <w:r w:rsidR="00373A9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F81293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68724B" w:rsidRDefault="006C66A4" w:rsidP="006C66A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C66A4">
              <w:rPr>
                <w:rFonts w:eastAsia="Calibri"/>
                <w:sz w:val="20"/>
                <w:szCs w:val="20"/>
                <w:lang w:eastAsia="en-US"/>
              </w:rPr>
              <w:t>Soros adatkommunikációs rendszereken végzett diagnosztikai vizsgálatok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>CAN hálózatok diagnosztikai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>a hálózatra vonatkozó hibakódok olvasása – törlése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 xml:space="preserve"> ellenállás és feszültségmérések a CAN hálózatban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>oszcilloszkópos vizsgálatok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>LIN - hálózatok diagnosztikai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>a hálózatra vonatkozó hibakódok olvasása – törlése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 xml:space="preserve"> oszcilloszkópos vizsgálatok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F81293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68724B" w:rsidRDefault="006C66A4" w:rsidP="0068724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C66A4">
              <w:rPr>
                <w:rFonts w:eastAsia="Calibri"/>
                <w:sz w:val="20"/>
                <w:szCs w:val="20"/>
                <w:lang w:eastAsia="en-US"/>
              </w:rPr>
              <w:t>A MOST és a Byte-flight rendszerek speciális ellenőrzési, diagnosztikai előírásai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>Generátor és a feszültségszabályzó diagnosztikai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>a háromfázisú generátor vizsgálata a töltésellenőrző lámpa megfigyelésével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>a töltőfeszültség és a töltőáram ellenőrzése különböző üzemállapotokban, különböző terhelések mellett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6C66A4">
              <w:rPr>
                <w:rFonts w:eastAsia="Calibri"/>
                <w:sz w:val="20"/>
                <w:szCs w:val="20"/>
                <w:lang w:eastAsia="en-US"/>
              </w:rPr>
              <w:t xml:space="preserve">Oszcilloszkópos vizsgálat: </w:t>
            </w:r>
            <w:r>
              <w:rPr>
                <w:rFonts w:eastAsia="Calibri"/>
                <w:sz w:val="20"/>
                <w:szCs w:val="20"/>
                <w:lang w:eastAsia="en-US"/>
              </w:rPr>
              <w:t>hibátlan jelalak bemutatása.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373A97">
        <w:trPr>
          <w:trHeight w:val="60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C96D11" w:rsidRDefault="00F81293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6" w:type="dxa"/>
          </w:tcPr>
          <w:p w:rsidR="000B709F" w:rsidRPr="0068724B" w:rsidRDefault="00373A97" w:rsidP="00373A9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73A97">
              <w:rPr>
                <w:rFonts w:eastAsia="Calibri"/>
                <w:sz w:val="20"/>
                <w:szCs w:val="20"/>
                <w:lang w:eastAsia="en-US"/>
              </w:rPr>
              <w:t>Indítórendszer diagnosztikai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373A97">
              <w:rPr>
                <w:rFonts w:eastAsia="Calibri"/>
                <w:sz w:val="20"/>
                <w:szCs w:val="20"/>
                <w:lang w:eastAsia="en-US"/>
              </w:rPr>
              <w:t>Hibabehatárolás az</w:t>
            </w:r>
            <w:r w:rsidR="009A50F4">
              <w:rPr>
                <w:rFonts w:eastAsia="Calibri"/>
                <w:sz w:val="20"/>
                <w:szCs w:val="20"/>
                <w:lang w:eastAsia="en-US"/>
              </w:rPr>
              <w:t xml:space="preserve"> indítómotor működtetése közben.</w:t>
            </w:r>
            <w:r w:rsidRPr="00373A97">
              <w:rPr>
                <w:rFonts w:eastAsia="Calibri"/>
                <w:sz w:val="20"/>
                <w:szCs w:val="20"/>
                <w:lang w:eastAsia="en-US"/>
              </w:rPr>
              <w:t xml:space="preserve"> Az indítómotor áramfelvételének, az akkumulátor kapocsfeszültségének, a hálózati feszültségesések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373A97">
              <w:rPr>
                <w:rFonts w:eastAsia="Calibri"/>
                <w:sz w:val="20"/>
                <w:szCs w:val="20"/>
                <w:lang w:eastAsia="en-US"/>
              </w:rPr>
              <w:t>Fényszórók diagnosztikai vizsgálata, beállítása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F81293" w:rsidRPr="00AA2B5E" w:rsidRDefault="00F81293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F81293" w:rsidRPr="00C96D11" w:rsidRDefault="00F81293" w:rsidP="00DF0B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56" w:type="dxa"/>
            <w:vAlign w:val="center"/>
          </w:tcPr>
          <w:p w:rsidR="00F81293" w:rsidRPr="00F81293" w:rsidRDefault="00F81293" w:rsidP="00DF0B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81293">
              <w:rPr>
                <w:rFonts w:eastAsia="Times New Roman"/>
                <w:color w:val="000000"/>
                <w:sz w:val="20"/>
                <w:szCs w:val="20"/>
              </w:rPr>
              <w:t>Elektronikusan irányított rendszerek diagnosztikai vizsgálata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F81293" w:rsidRPr="00AA2B5E" w:rsidRDefault="00F81293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F81293" w:rsidRDefault="00F81293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1293">
              <w:rPr>
                <w:sz w:val="20"/>
                <w:szCs w:val="20"/>
              </w:rPr>
              <w:t>2</w:t>
            </w:r>
          </w:p>
        </w:tc>
        <w:tc>
          <w:tcPr>
            <w:tcW w:w="4656" w:type="dxa"/>
          </w:tcPr>
          <w:p w:rsidR="00EE6E05" w:rsidRPr="00EE6E05" w:rsidRDefault="00EE6E05" w:rsidP="00EE6E0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E6E05">
              <w:rPr>
                <w:rFonts w:eastAsia="Calibri"/>
                <w:sz w:val="20"/>
                <w:szCs w:val="20"/>
                <w:lang w:eastAsia="en-US"/>
              </w:rPr>
              <w:t>Soros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>A diagnosztikai csatlakozó kialakítása, lábkiosztás alapján a bekötés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B709F" w:rsidRPr="00EE6E05" w:rsidRDefault="00EE6E05" w:rsidP="00EE6E0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E6E05">
              <w:rPr>
                <w:rFonts w:eastAsia="Calibri"/>
                <w:sz w:val="20"/>
                <w:szCs w:val="20"/>
                <w:lang w:eastAsia="en-US"/>
              </w:rPr>
              <w:t>Kommunikációs lehetőségek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>Vezetőtájékoztatás, hibajelző lámpák funkció, működésellenőrzése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F81293" w:rsidRDefault="00F81293" w:rsidP="00C96D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1293"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EE6E05" w:rsidRDefault="00EE6E05" w:rsidP="00EE6E0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E6E05">
              <w:rPr>
                <w:rFonts w:eastAsia="Calibri"/>
                <w:sz w:val="20"/>
                <w:szCs w:val="20"/>
                <w:lang w:eastAsia="en-US"/>
              </w:rPr>
              <w:t>Soros diagnosztikai vizsgálatok végrehajtása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 elektronikusan irányított rendszereken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A diagnosztikai gyakorlat során vizsgálandó rendszerek: Otto motoros járművek elektronikus motorirányító rendszerei, </w:t>
            </w:r>
            <w:r>
              <w:rPr>
                <w:rFonts w:eastAsia="Calibri"/>
                <w:sz w:val="20"/>
                <w:szCs w:val="20"/>
                <w:lang w:eastAsia="en-US"/>
              </w:rPr>
              <w:t>d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ízelmotoros járművek elektronikus motorirányító rendszerei, </w:t>
            </w:r>
            <w:r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enetdinamikai szabályzó rendszer (ABS, ASR, ESP), </w:t>
            </w: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utomataváltó </w:t>
            </w:r>
            <w:r>
              <w:rPr>
                <w:rFonts w:eastAsia="Calibri"/>
                <w:sz w:val="20"/>
                <w:szCs w:val="20"/>
                <w:lang w:eastAsia="en-US"/>
              </w:rPr>
              <w:t>elektronikus irányító rendszere.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F81293" w:rsidRDefault="00F81293" w:rsidP="00090A1B">
            <w:pPr>
              <w:jc w:val="center"/>
              <w:rPr>
                <w:sz w:val="20"/>
                <w:szCs w:val="20"/>
              </w:rPr>
            </w:pPr>
            <w:r w:rsidRPr="00F81293"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EE6E05" w:rsidRDefault="00EE6E05" w:rsidP="00EE6E0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E6E05">
              <w:rPr>
                <w:rFonts w:eastAsia="Calibri"/>
                <w:sz w:val="20"/>
                <w:szCs w:val="20"/>
                <w:lang w:eastAsia="en-US"/>
              </w:rPr>
              <w:t>Elektro</w:t>
            </w:r>
            <w:r>
              <w:rPr>
                <w:rFonts w:eastAsia="Calibri"/>
                <w:sz w:val="20"/>
                <w:szCs w:val="20"/>
                <w:lang w:eastAsia="en-US"/>
              </w:rPr>
              <w:t>nikus szintszabályzó rendszerek.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 Elektronikusan irányított szervokormány, </w:t>
            </w:r>
            <w:r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límaberendezés, </w:t>
            </w:r>
            <w:r>
              <w:rPr>
                <w:rFonts w:eastAsia="Calibri"/>
                <w:sz w:val="20"/>
                <w:szCs w:val="20"/>
                <w:lang w:eastAsia="en-US"/>
              </w:rPr>
              <w:t>l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égzsák és övfeszítő rendszerek, </w:t>
            </w:r>
            <w:r>
              <w:rPr>
                <w:rFonts w:eastAsia="Calibri"/>
                <w:sz w:val="20"/>
                <w:szCs w:val="20"/>
                <w:lang w:eastAsia="en-US"/>
              </w:rPr>
              <w:t>világítási rendszer.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 Vezetőtámogató asszisztensek, </w:t>
            </w: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>lternatív hajtású járművek stb.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F81293" w:rsidRDefault="00F81293" w:rsidP="00090A1B">
            <w:pPr>
              <w:jc w:val="center"/>
              <w:rPr>
                <w:sz w:val="20"/>
                <w:szCs w:val="20"/>
              </w:rPr>
            </w:pPr>
            <w:r w:rsidRPr="00F81293"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EE6E05" w:rsidRDefault="00EE6E05" w:rsidP="00EE6E0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I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>rányítóeg</w:t>
            </w:r>
            <w:r w:rsidR="009A50F4">
              <w:rPr>
                <w:rFonts w:eastAsia="Calibri"/>
                <w:sz w:val="20"/>
                <w:szCs w:val="20"/>
                <w:lang w:eastAsia="en-US"/>
              </w:rPr>
              <w:t>ység-kommunikációs diagnosztika.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 Rendszerazonosítás, </w:t>
            </w:r>
            <w:r>
              <w:rPr>
                <w:rFonts w:eastAsia="Calibri"/>
                <w:sz w:val="20"/>
                <w:szCs w:val="20"/>
                <w:lang w:eastAsia="en-US"/>
              </w:rPr>
              <w:t>h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ibatároló lekérdezés, </w:t>
            </w: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 tárolt hibakódok és a tanult érték tárolók törlése, </w:t>
            </w:r>
            <w:r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>otor</w:t>
            </w:r>
            <w:r>
              <w:rPr>
                <w:rFonts w:eastAsia="Calibri"/>
                <w:sz w:val="20"/>
                <w:szCs w:val="20"/>
                <w:lang w:eastAsia="en-US"/>
              </w:rPr>
              <w:t>üzemi paraméterek megjelenítése</w:t>
            </w:r>
            <w:r w:rsidR="009A50F4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Beavatkozó-egységek működtetése.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 Alapbeállítás végrehajtás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 xml:space="preserve"> Hibakörnyezeti adatok olvasása, </w:t>
            </w:r>
            <w:r>
              <w:rPr>
                <w:rFonts w:eastAsia="Calibri"/>
                <w:sz w:val="20"/>
                <w:szCs w:val="20"/>
                <w:lang w:eastAsia="en-US"/>
              </w:rPr>
              <w:t>i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>rányítóegység vagy alrendszer kódolás-illesztés.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F81293" w:rsidRDefault="00F81293" w:rsidP="00090A1B">
            <w:pPr>
              <w:jc w:val="center"/>
              <w:rPr>
                <w:sz w:val="20"/>
                <w:szCs w:val="20"/>
              </w:rPr>
            </w:pPr>
            <w:r w:rsidRPr="00F81293"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971B1A" w:rsidRDefault="00EE6E05" w:rsidP="00971B1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E6E05">
              <w:rPr>
                <w:rFonts w:eastAsia="Calibri"/>
                <w:sz w:val="20"/>
                <w:szCs w:val="20"/>
                <w:lang w:eastAsia="en-US"/>
              </w:rPr>
              <w:t>Párhuzamos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EE6E05">
              <w:rPr>
                <w:rFonts w:eastAsia="Calibri"/>
                <w:sz w:val="20"/>
                <w:szCs w:val="20"/>
                <w:lang w:eastAsia="en-US"/>
              </w:rPr>
              <w:t>Működő vagy működőképes rendszerben (feszültség alá helyezett rendszernél, indítómotorral forgatott motornál, vagy járó motornál) Y-kábel és mérődoboz (Prüfbox, Breakout-Box) segítségével történő vizsgálatok az előző pontban említtet rendszereknél, adatbázisok felhasználásával</w:t>
            </w:r>
            <w:r w:rsidR="00971B1A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F81293" w:rsidRDefault="00F81293" w:rsidP="00090A1B">
            <w:pPr>
              <w:jc w:val="center"/>
              <w:rPr>
                <w:sz w:val="20"/>
                <w:szCs w:val="20"/>
              </w:rPr>
            </w:pPr>
            <w:r w:rsidRPr="00F81293">
              <w:rPr>
                <w:sz w:val="20"/>
                <w:szCs w:val="20"/>
              </w:rPr>
              <w:t>2</w:t>
            </w:r>
          </w:p>
        </w:tc>
        <w:tc>
          <w:tcPr>
            <w:tcW w:w="4656" w:type="dxa"/>
          </w:tcPr>
          <w:p w:rsidR="000B709F" w:rsidRPr="00971B1A" w:rsidRDefault="00B40E56" w:rsidP="0097701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40E56">
              <w:rPr>
                <w:rFonts w:eastAsia="Calibri"/>
                <w:sz w:val="20"/>
                <w:szCs w:val="20"/>
                <w:lang w:eastAsia="en-US"/>
              </w:rPr>
              <w:t>Beavatkozó teszt a vizsgált irányítóegység által felkínált alkatrészeknél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40E56">
              <w:rPr>
                <w:rFonts w:eastAsia="Calibri"/>
                <w:sz w:val="20"/>
                <w:szCs w:val="20"/>
                <w:lang w:eastAsia="en-US"/>
              </w:rPr>
              <w:t>Periféria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40E56">
              <w:rPr>
                <w:rFonts w:eastAsia="Calibri"/>
                <w:sz w:val="20"/>
                <w:szCs w:val="20"/>
                <w:lang w:eastAsia="en-US"/>
              </w:rPr>
              <w:t>Az irányítóegység tápfeszültség ellátásának, testcsatlakozásának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40E56">
              <w:rPr>
                <w:rFonts w:eastAsia="Calibri"/>
                <w:sz w:val="20"/>
                <w:szCs w:val="20"/>
                <w:lang w:eastAsia="en-US"/>
              </w:rPr>
              <w:t>A rendszer jeladóinak, beavatkozóinak ellenőrzése műszaki dokumentációk, adatbázisok alapján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DF0B11">
        <w:trPr>
          <w:trHeight w:val="794"/>
        </w:trPr>
        <w:tc>
          <w:tcPr>
            <w:tcW w:w="1739" w:type="dxa"/>
            <w:gridSpan w:val="2"/>
            <w:shd w:val="clear" w:color="auto" w:fill="BFBFBF" w:themeFill="background1" w:themeFillShade="BF"/>
            <w:vAlign w:val="center"/>
          </w:tcPr>
          <w:p w:rsidR="00F81293" w:rsidRPr="00AA2B5E" w:rsidRDefault="00F81293" w:rsidP="00DF0B11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F81293" w:rsidRPr="00F81293" w:rsidRDefault="00AA2A31" w:rsidP="00DF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56" w:type="dxa"/>
            <w:vAlign w:val="center"/>
          </w:tcPr>
          <w:p w:rsidR="00F81293" w:rsidRPr="00AA2A31" w:rsidRDefault="00AA2A31" w:rsidP="00DF0B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A2A31">
              <w:rPr>
                <w:rFonts w:eastAsia="Times New Roman"/>
                <w:color w:val="000000"/>
                <w:sz w:val="20"/>
                <w:szCs w:val="20"/>
              </w:rPr>
              <w:t>Motordiagnosztikai vizsgálatok</w:t>
            </w:r>
          </w:p>
        </w:tc>
        <w:tc>
          <w:tcPr>
            <w:tcW w:w="3122" w:type="dxa"/>
            <w:gridSpan w:val="3"/>
            <w:shd w:val="clear" w:color="auto" w:fill="BFBFBF" w:themeFill="background1" w:themeFillShade="BF"/>
            <w:vAlign w:val="center"/>
          </w:tcPr>
          <w:p w:rsidR="00F81293" w:rsidRPr="00AA2B5E" w:rsidRDefault="00F81293" w:rsidP="00DF0B11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794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F81293" w:rsidRDefault="00F8129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6" w:type="dxa"/>
          </w:tcPr>
          <w:p w:rsidR="000B709F" w:rsidRPr="00977010" w:rsidRDefault="00977010" w:rsidP="0097701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77010">
              <w:rPr>
                <w:rFonts w:eastAsia="Calibri"/>
                <w:sz w:val="20"/>
                <w:szCs w:val="20"/>
                <w:lang w:eastAsia="en-US"/>
              </w:rPr>
              <w:t>Otto-motorok diagnosztikai vizsgálata motordiagnosztikai készülék</w:t>
            </w:r>
            <w:r>
              <w:rPr>
                <w:rFonts w:eastAsia="Calibri"/>
                <w:sz w:val="20"/>
                <w:szCs w:val="20"/>
                <w:lang w:eastAsia="en-US"/>
              </w:rPr>
              <w:t>kel,</w:t>
            </w:r>
            <w:r w:rsidRPr="00977010">
              <w:rPr>
                <w:rFonts w:eastAsia="Calibri"/>
                <w:sz w:val="20"/>
                <w:szCs w:val="20"/>
                <w:lang w:eastAsia="en-US"/>
              </w:rPr>
              <w:t xml:space="preserve"> műszaki dokumentációk, adatbázisok alapján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977010">
              <w:rPr>
                <w:rFonts w:eastAsia="Calibri"/>
                <w:sz w:val="20"/>
                <w:szCs w:val="20"/>
                <w:lang w:eastAsia="en-US"/>
              </w:rPr>
              <w:t xml:space="preserve">A készülék bekötése, </w:t>
            </w:r>
            <w:r>
              <w:rPr>
                <w:rFonts w:eastAsia="Calibri"/>
                <w:sz w:val="20"/>
                <w:szCs w:val="20"/>
                <w:lang w:eastAsia="en-US"/>
              </w:rPr>
              <w:t>motor</w:t>
            </w:r>
            <w:r w:rsidRPr="00977010">
              <w:rPr>
                <w:rFonts w:eastAsia="Calibri"/>
                <w:sz w:val="20"/>
                <w:szCs w:val="20"/>
                <w:lang w:eastAsia="en-US"/>
              </w:rPr>
              <w:t>specifikus adatok beállítása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977010">
              <w:rPr>
                <w:rFonts w:eastAsia="Calibri"/>
                <w:sz w:val="20"/>
                <w:szCs w:val="20"/>
                <w:lang w:eastAsia="en-US"/>
              </w:rPr>
              <w:t>feszültség, áram, fordulatszámmérés, kenőolaj hőmérsékletmérés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977010">
        <w:trPr>
          <w:trHeight w:val="321"/>
        </w:trPr>
        <w:tc>
          <w:tcPr>
            <w:tcW w:w="816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B709F" w:rsidRPr="00F81293" w:rsidRDefault="00AA2A3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0B709F" w:rsidRPr="00977010" w:rsidRDefault="00977010" w:rsidP="0097701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77010">
              <w:rPr>
                <w:rFonts w:eastAsia="Calibri"/>
                <w:sz w:val="20"/>
                <w:szCs w:val="20"/>
                <w:lang w:eastAsia="en-US"/>
              </w:rPr>
              <w:t>Mérések a gyújtási rendszer primer áramkörében: zárási szög, zárási idő, zárási százalék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977010">
              <w:rPr>
                <w:rFonts w:eastAsia="Calibri"/>
                <w:sz w:val="20"/>
                <w:szCs w:val="20"/>
                <w:lang w:eastAsia="en-US"/>
              </w:rPr>
              <w:t>előgyújtási szög mérése, beállítása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977010">
              <w:rPr>
                <w:rFonts w:eastAsia="Calibri"/>
                <w:sz w:val="20"/>
                <w:szCs w:val="20"/>
                <w:lang w:eastAsia="en-US"/>
              </w:rPr>
              <w:t>Henger összehasonlító vizsgálatok:</w:t>
            </w:r>
            <w:r w:rsidR="00BB0FB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77010">
              <w:rPr>
                <w:rFonts w:eastAsia="Calibri"/>
                <w:sz w:val="20"/>
                <w:szCs w:val="20"/>
                <w:lang w:eastAsia="en-US"/>
              </w:rPr>
              <w:t>hengerteljesítmény különbségmérés, d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inamikus kompresszió vizsgálat, </w:t>
            </w:r>
            <w:r w:rsidRPr="00977010">
              <w:rPr>
                <w:rFonts w:eastAsia="Calibri"/>
                <w:sz w:val="20"/>
                <w:szCs w:val="20"/>
                <w:lang w:eastAsia="en-US"/>
              </w:rPr>
              <w:t>Delta HC mérés, stb.</w:t>
            </w:r>
          </w:p>
        </w:tc>
        <w:tc>
          <w:tcPr>
            <w:tcW w:w="841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974"/>
        </w:trPr>
        <w:tc>
          <w:tcPr>
            <w:tcW w:w="816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64B0B" w:rsidRPr="00F81293" w:rsidRDefault="00AA2A3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264B0B" w:rsidRPr="00C709AA" w:rsidRDefault="00C709AA" w:rsidP="00C709A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709AA">
              <w:rPr>
                <w:rFonts w:eastAsia="Calibri"/>
                <w:sz w:val="20"/>
                <w:szCs w:val="20"/>
                <w:lang w:eastAsia="en-US"/>
              </w:rPr>
              <w:t>Dízeldiagnosztikai vizsgálatok (pl.: nyomásváltozás a nyomócsőben, befecskendezés kezdet, befecskendezés állítás stroboszkóp segítségével, dízel izzító rendszer stb.)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709AA">
              <w:rPr>
                <w:rFonts w:eastAsia="Calibri"/>
                <w:sz w:val="20"/>
                <w:szCs w:val="20"/>
                <w:lang w:eastAsia="en-US"/>
              </w:rPr>
              <w:t>A készülék alkalmazása multiméter funkcióban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974"/>
        </w:trPr>
        <w:tc>
          <w:tcPr>
            <w:tcW w:w="816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64B0B" w:rsidRPr="00F81293" w:rsidRDefault="00AA2A3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6" w:type="dxa"/>
          </w:tcPr>
          <w:p w:rsidR="00264B0B" w:rsidRPr="00C709AA" w:rsidRDefault="00C709AA" w:rsidP="00C709A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709AA">
              <w:rPr>
                <w:rFonts w:eastAsia="Calibri"/>
                <w:sz w:val="20"/>
                <w:szCs w:val="20"/>
                <w:lang w:eastAsia="en-US"/>
              </w:rPr>
              <w:t>Oszcilloszkópos gyújtásvizsgálat a primer és szekunder áramkörökben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709AA">
              <w:rPr>
                <w:rFonts w:eastAsia="Calibri"/>
                <w:sz w:val="20"/>
                <w:szCs w:val="20"/>
                <w:lang w:eastAsia="en-US"/>
              </w:rPr>
              <w:t>Az oszcilloszkóp funkció beállításai, egyes-, sorozat-, szuperponált, raszter kép értelmezése, megjelenítése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709AA">
              <w:rPr>
                <w:rFonts w:eastAsia="Calibri"/>
                <w:sz w:val="20"/>
                <w:szCs w:val="20"/>
                <w:lang w:eastAsia="en-US"/>
              </w:rPr>
              <w:t>Normál oszcillogramok értelmezése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709AA">
              <w:rPr>
                <w:rFonts w:eastAsia="Calibri"/>
                <w:sz w:val="20"/>
                <w:szCs w:val="20"/>
                <w:lang w:eastAsia="en-US"/>
              </w:rPr>
              <w:t>Hibalehetőségek megjelenése a primer és a szekunder oszcilloszkópos képeken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27F49" w:rsidTr="00003570">
        <w:trPr>
          <w:trHeight w:val="974"/>
        </w:trPr>
        <w:tc>
          <w:tcPr>
            <w:tcW w:w="816" w:type="dxa"/>
            <w:vAlign w:val="center"/>
          </w:tcPr>
          <w:p w:rsidR="00AA2A31" w:rsidRPr="00AA2B5E" w:rsidRDefault="00AA2A3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2A31" w:rsidRPr="00AA2B5E" w:rsidRDefault="00AA2A31" w:rsidP="00090A1B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AA2A31" w:rsidRDefault="00AA2A3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6" w:type="dxa"/>
          </w:tcPr>
          <w:p w:rsidR="00C709AA" w:rsidRPr="00C709AA" w:rsidRDefault="00C709AA" w:rsidP="00C709A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709AA">
              <w:rPr>
                <w:rFonts w:eastAsia="Calibri"/>
                <w:sz w:val="20"/>
                <w:szCs w:val="20"/>
                <w:lang w:eastAsia="en-US"/>
              </w:rPr>
              <w:t>Motordiagnosztikai készülék alkalmazása általános oszcilloszkóp funkcióban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709AA">
              <w:rPr>
                <w:rFonts w:eastAsia="Calibri"/>
                <w:sz w:val="20"/>
                <w:szCs w:val="20"/>
                <w:lang w:eastAsia="en-US"/>
              </w:rPr>
              <w:t>A készülék alkalmazása adatbázis segítségével vezetett hibakeresés funkcióban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A2A31" w:rsidRPr="00C709AA" w:rsidRDefault="00C709AA" w:rsidP="00C709A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709AA">
              <w:rPr>
                <w:rFonts w:eastAsia="Calibri"/>
                <w:sz w:val="20"/>
                <w:szCs w:val="20"/>
                <w:lang w:eastAsia="en-US"/>
              </w:rPr>
              <w:t>A készülék együttműködése a vezérlőegység-diagnosztikai modullal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1" w:type="dxa"/>
          </w:tcPr>
          <w:p w:rsidR="00AA2A31" w:rsidRPr="00AA2B5E" w:rsidRDefault="00AA2A3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2A31" w:rsidRPr="00AA2B5E" w:rsidRDefault="00AA2A31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A2A31" w:rsidRPr="00AA2B5E" w:rsidRDefault="00AA2A31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0772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92D" w:rsidRDefault="0075792D" w:rsidP="00B2485D">
      <w:r>
        <w:separator/>
      </w:r>
    </w:p>
  </w:endnote>
  <w:endnote w:type="continuationSeparator" w:id="1">
    <w:p w:rsidR="0075792D" w:rsidRDefault="0075792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74806" w:rsidRDefault="00A74806">
        <w:pPr>
          <w:pStyle w:val="llb"/>
          <w:jc w:val="center"/>
        </w:pPr>
        <w:fldSimple w:instr="PAGE   \* MERGEFORMAT">
          <w:r w:rsidR="00BB0FBF">
            <w:rPr>
              <w:noProof/>
            </w:rPr>
            <w:t>1</w:t>
          </w:r>
        </w:fldSimple>
      </w:p>
      <w:p w:rsidR="00A74806" w:rsidRDefault="00A74806">
        <w:pPr>
          <w:pStyle w:val="llb"/>
          <w:jc w:val="center"/>
        </w:pPr>
        <w:r>
          <w:t>5452501.14evf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92D" w:rsidRDefault="0075792D" w:rsidP="00B2485D">
      <w:r>
        <w:separator/>
      </w:r>
    </w:p>
  </w:footnote>
  <w:footnote w:type="continuationSeparator" w:id="1">
    <w:p w:rsidR="0075792D" w:rsidRDefault="0075792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806" w:rsidRPr="00340762" w:rsidRDefault="00A74806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3570"/>
    <w:rsid w:val="00061263"/>
    <w:rsid w:val="00090A1B"/>
    <w:rsid w:val="000A46D8"/>
    <w:rsid w:val="000B579E"/>
    <w:rsid w:val="000B709F"/>
    <w:rsid w:val="000C5016"/>
    <w:rsid w:val="000C791E"/>
    <w:rsid w:val="0011195A"/>
    <w:rsid w:val="00127F49"/>
    <w:rsid w:val="001411B8"/>
    <w:rsid w:val="00164A00"/>
    <w:rsid w:val="00183A93"/>
    <w:rsid w:val="001E55D1"/>
    <w:rsid w:val="002104ED"/>
    <w:rsid w:val="0023231C"/>
    <w:rsid w:val="00262B2B"/>
    <w:rsid w:val="00264B0B"/>
    <w:rsid w:val="002B6D9D"/>
    <w:rsid w:val="002E6AD5"/>
    <w:rsid w:val="00330B7C"/>
    <w:rsid w:val="00331E10"/>
    <w:rsid w:val="00340762"/>
    <w:rsid w:val="0035197E"/>
    <w:rsid w:val="00373A97"/>
    <w:rsid w:val="00385B18"/>
    <w:rsid w:val="003A3CDC"/>
    <w:rsid w:val="003B147E"/>
    <w:rsid w:val="003C6965"/>
    <w:rsid w:val="003F3D20"/>
    <w:rsid w:val="00416454"/>
    <w:rsid w:val="00424FB3"/>
    <w:rsid w:val="004A3094"/>
    <w:rsid w:val="004B24E2"/>
    <w:rsid w:val="004C7770"/>
    <w:rsid w:val="004F3AF4"/>
    <w:rsid w:val="00512211"/>
    <w:rsid w:val="00567BE7"/>
    <w:rsid w:val="00572921"/>
    <w:rsid w:val="005F1E25"/>
    <w:rsid w:val="0068724B"/>
    <w:rsid w:val="006A1D83"/>
    <w:rsid w:val="006C164A"/>
    <w:rsid w:val="006C3FF3"/>
    <w:rsid w:val="006C591C"/>
    <w:rsid w:val="006C66A4"/>
    <w:rsid w:val="00703883"/>
    <w:rsid w:val="00705547"/>
    <w:rsid w:val="00722418"/>
    <w:rsid w:val="0075792D"/>
    <w:rsid w:val="00816BBB"/>
    <w:rsid w:val="00844B2E"/>
    <w:rsid w:val="00861D88"/>
    <w:rsid w:val="008621EF"/>
    <w:rsid w:val="008A318F"/>
    <w:rsid w:val="008C0910"/>
    <w:rsid w:val="008F034E"/>
    <w:rsid w:val="00907725"/>
    <w:rsid w:val="00971AB4"/>
    <w:rsid w:val="00971B1A"/>
    <w:rsid w:val="00977010"/>
    <w:rsid w:val="009A50F4"/>
    <w:rsid w:val="009C0AA2"/>
    <w:rsid w:val="009E2592"/>
    <w:rsid w:val="009F0791"/>
    <w:rsid w:val="00A03DF9"/>
    <w:rsid w:val="00A4253B"/>
    <w:rsid w:val="00A53D2C"/>
    <w:rsid w:val="00A74806"/>
    <w:rsid w:val="00AA2A31"/>
    <w:rsid w:val="00AA2B5E"/>
    <w:rsid w:val="00AB22E3"/>
    <w:rsid w:val="00B03D8D"/>
    <w:rsid w:val="00B16FAA"/>
    <w:rsid w:val="00B24540"/>
    <w:rsid w:val="00B2485D"/>
    <w:rsid w:val="00B34427"/>
    <w:rsid w:val="00B40E56"/>
    <w:rsid w:val="00BB0FBF"/>
    <w:rsid w:val="00BC646B"/>
    <w:rsid w:val="00BE282F"/>
    <w:rsid w:val="00BF7A62"/>
    <w:rsid w:val="00C05973"/>
    <w:rsid w:val="00C43622"/>
    <w:rsid w:val="00C6286A"/>
    <w:rsid w:val="00C709AA"/>
    <w:rsid w:val="00C96D11"/>
    <w:rsid w:val="00CA663C"/>
    <w:rsid w:val="00CF73BD"/>
    <w:rsid w:val="00D07254"/>
    <w:rsid w:val="00D104C8"/>
    <w:rsid w:val="00D208FE"/>
    <w:rsid w:val="00D3531B"/>
    <w:rsid w:val="00D73BAD"/>
    <w:rsid w:val="00D93ACD"/>
    <w:rsid w:val="00DA2864"/>
    <w:rsid w:val="00DC4068"/>
    <w:rsid w:val="00DD7EBB"/>
    <w:rsid w:val="00DE6760"/>
    <w:rsid w:val="00DF0B11"/>
    <w:rsid w:val="00E56BAE"/>
    <w:rsid w:val="00EE6E05"/>
    <w:rsid w:val="00F22839"/>
    <w:rsid w:val="00F64AD2"/>
    <w:rsid w:val="00F64AED"/>
    <w:rsid w:val="00F81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0554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0554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0554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0554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0554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0554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0554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0554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0554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0554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0554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9507-8B00-41B1-A23D-F2ACDAF0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2768</Words>
  <Characters>19104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6</cp:revision>
  <cp:lastPrinted>2017-06-26T11:33:00Z</cp:lastPrinted>
  <dcterms:created xsi:type="dcterms:W3CDTF">2018-10-01T10:31:00Z</dcterms:created>
  <dcterms:modified xsi:type="dcterms:W3CDTF">2018-10-01T17:48:00Z</dcterms:modified>
</cp:coreProperties>
</file>