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3786C" w:rsidRDefault="00A945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Vegyész technikus</w:t>
      </w:r>
    </w:p>
    <w:p w:rsidR="00061263" w:rsidRPr="007E05E3" w:rsidRDefault="009F40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7E05E3">
        <w:rPr>
          <w:sz w:val="28"/>
          <w:szCs w:val="28"/>
        </w:rPr>
        <w:t xml:space="preserve"> 54</w:t>
      </w:r>
      <w:r w:rsidR="00A94536">
        <w:rPr>
          <w:sz w:val="28"/>
          <w:szCs w:val="28"/>
        </w:rPr>
        <w:t xml:space="preserve"> 524 03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95B9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95B9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95B9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95B9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95B9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95B9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95B9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95B9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C548B" w:rsidRDefault="00EC548B" w:rsidP="00EC548B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4"/>
        <w:gridCol w:w="845"/>
        <w:gridCol w:w="923"/>
        <w:gridCol w:w="1379"/>
      </w:tblGrid>
      <w:tr w:rsidR="00090A1B" w:rsidTr="00924226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4" w:type="dxa"/>
            <w:vMerge w:val="restart"/>
            <w:vAlign w:val="center"/>
          </w:tcPr>
          <w:p w:rsidR="00C6286A" w:rsidRPr="0073786C" w:rsidRDefault="00512211" w:rsidP="0073786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24226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4" w:type="dxa"/>
            <w:vMerge/>
          </w:tcPr>
          <w:p w:rsidR="00090A1B" w:rsidRPr="00AA2B5E" w:rsidRDefault="00090A1B" w:rsidP="00B62C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24226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9174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924226" w:rsidRDefault="00EC548B" w:rsidP="009174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="00924226" w:rsidRPr="00924226">
              <w:rPr>
                <w:b/>
                <w:sz w:val="28"/>
              </w:rPr>
              <w:t>88</w:t>
            </w:r>
          </w:p>
        </w:tc>
        <w:tc>
          <w:tcPr>
            <w:tcW w:w="4784" w:type="dxa"/>
            <w:vAlign w:val="center"/>
          </w:tcPr>
          <w:p w:rsidR="00D93ACD" w:rsidRDefault="00924226" w:rsidP="009174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11850-16</w:t>
            </w:r>
          </w:p>
          <w:p w:rsidR="00924226" w:rsidRPr="00AE065A" w:rsidRDefault="00924226" w:rsidP="009174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Vegyésztechnikusi feladatok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D93ACD" w:rsidRPr="00AA2B5E" w:rsidRDefault="00D93ACD" w:rsidP="009174C9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3786C" w:rsidTr="00924226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73786C" w:rsidRDefault="003F3D20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73786C" w:rsidRDefault="00924226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155</w:t>
            </w:r>
          </w:p>
        </w:tc>
        <w:tc>
          <w:tcPr>
            <w:tcW w:w="4784" w:type="dxa"/>
            <w:vAlign w:val="center"/>
          </w:tcPr>
          <w:p w:rsidR="003F3D20" w:rsidRPr="0073786C" w:rsidRDefault="00924226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Vegyipari műveletek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3F3D20" w:rsidRPr="0073786C" w:rsidRDefault="003F3D20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924226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9174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924226" w:rsidRDefault="00924226" w:rsidP="009174C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84" w:type="dxa"/>
            <w:vAlign w:val="center"/>
          </w:tcPr>
          <w:p w:rsidR="00D93ACD" w:rsidRPr="00567BE7" w:rsidRDefault="00924226" w:rsidP="009174C9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Bevezetés, a gyakorlati munka rendje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D93ACD" w:rsidRPr="00AA2B5E" w:rsidRDefault="00D93ACD" w:rsidP="009174C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090A1B" w:rsidRPr="00AE065A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tanuló megismeri a munka- és tűzvédelemi szabályokat, valamint a műveleti laboratóriumban vagy üzemi gyakorlóhelyen használt eszközök, v</w:t>
            </w:r>
            <w:r>
              <w:rPr>
                <w:sz w:val="20"/>
                <w:szCs w:val="20"/>
              </w:rPr>
              <w:t xml:space="preserve">egyszerek kezelését, tárolását. </w:t>
            </w:r>
            <w:r w:rsidRPr="00E73845">
              <w:rPr>
                <w:sz w:val="20"/>
                <w:szCs w:val="20"/>
              </w:rPr>
              <w:t>A műveleti laboratórium (gyakorlóhely) rendje, víz-, gáz-, energiaellátó rend</w:t>
            </w:r>
            <w:r>
              <w:rPr>
                <w:sz w:val="20"/>
                <w:szCs w:val="20"/>
              </w:rPr>
              <w:t xml:space="preserve">szere, biztonsági berendezései. </w:t>
            </w:r>
            <w:r w:rsidRPr="00E73845">
              <w:rPr>
                <w:sz w:val="20"/>
                <w:szCs w:val="20"/>
              </w:rPr>
              <w:t>Munk</w:t>
            </w:r>
            <w:r>
              <w:rPr>
                <w:sz w:val="20"/>
                <w:szCs w:val="20"/>
              </w:rPr>
              <w:t xml:space="preserve">a- és balesetvédelmi szabályok. </w:t>
            </w:r>
            <w:r w:rsidRPr="00E73845">
              <w:rPr>
                <w:sz w:val="20"/>
                <w:szCs w:val="20"/>
              </w:rPr>
              <w:t>Tűzvédelmi é</w:t>
            </w:r>
            <w:r>
              <w:rPr>
                <w:sz w:val="20"/>
                <w:szCs w:val="20"/>
              </w:rPr>
              <w:t xml:space="preserve">s biztonságtechnikai szabályok. </w:t>
            </w:r>
            <w:r w:rsidRPr="00E73845">
              <w:rPr>
                <w:sz w:val="20"/>
                <w:szCs w:val="20"/>
              </w:rPr>
              <w:t>Eszközök, készü</w:t>
            </w:r>
            <w:r>
              <w:rPr>
                <w:sz w:val="20"/>
                <w:szCs w:val="20"/>
              </w:rPr>
              <w:t xml:space="preserve">lékek, berendezések tisztítása. </w:t>
            </w:r>
            <w:r w:rsidRPr="00E73845">
              <w:rPr>
                <w:sz w:val="20"/>
                <w:szCs w:val="20"/>
              </w:rPr>
              <w:t>A keletkezett hulla</w:t>
            </w:r>
            <w:r>
              <w:rPr>
                <w:sz w:val="20"/>
                <w:szCs w:val="20"/>
              </w:rPr>
              <w:t xml:space="preserve">dék anyagok szelektív tárolása. </w:t>
            </w:r>
            <w:r w:rsidRPr="00E73845">
              <w:rPr>
                <w:sz w:val="20"/>
                <w:szCs w:val="20"/>
              </w:rPr>
              <w:t>A szükséges védőfelszerelések kiválasztása és használata.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24226" w:rsidTr="00924226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924226" w:rsidRPr="00AA2B5E" w:rsidRDefault="00924226" w:rsidP="009174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784" w:type="dxa"/>
            <w:vAlign w:val="center"/>
          </w:tcPr>
          <w:p w:rsidR="00924226" w:rsidRPr="00567BE7" w:rsidRDefault="00924226" w:rsidP="009174C9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Folyadékok és gázok tárolása, szállítása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924226" w:rsidRPr="00AA2B5E" w:rsidRDefault="00924226" w:rsidP="009174C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AE065A" w:rsidTr="00924226">
        <w:trPr>
          <w:trHeight w:val="794"/>
        </w:trPr>
        <w:tc>
          <w:tcPr>
            <w:tcW w:w="662" w:type="dxa"/>
            <w:vAlign w:val="center"/>
          </w:tcPr>
          <w:p w:rsidR="00D93ACD" w:rsidRPr="00AE065A" w:rsidRDefault="00D93ACD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9174C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D93ACD" w:rsidRPr="00AE065A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tanulók megismerik az elméletben tanult gépek, berendezések kezelését, biztonságos használatát.</w:t>
            </w:r>
          </w:p>
        </w:tc>
        <w:tc>
          <w:tcPr>
            <w:tcW w:w="845" w:type="dxa"/>
            <w:vAlign w:val="center"/>
          </w:tcPr>
          <w:p w:rsidR="00D93ACD" w:rsidRPr="00AE065A" w:rsidRDefault="00D93ACD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9174C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D93ACD" w:rsidRPr="00AE065A" w:rsidRDefault="00D93ACD" w:rsidP="009174C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AE065A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Egyszerű ipari mérések segítségével megállapítják a berendezések műszaki állapotát, működtetési tartom</w:t>
            </w:r>
            <w:r>
              <w:rPr>
                <w:sz w:val="20"/>
                <w:szCs w:val="20"/>
              </w:rPr>
              <w:t xml:space="preserve">ányát, jellemző tulajdonságait. </w:t>
            </w:r>
            <w:r w:rsidRPr="00E73845">
              <w:rPr>
                <w:sz w:val="20"/>
                <w:szCs w:val="20"/>
              </w:rPr>
              <w:t>Tartályok, keverő készülékek, egyéb gépi berendezések kezelése: feltöltés, leürítés, töltöttségi állap</w:t>
            </w:r>
            <w:r>
              <w:rPr>
                <w:sz w:val="20"/>
                <w:szCs w:val="20"/>
              </w:rPr>
              <w:t xml:space="preserve">ot meghatározása szintméréssel. </w:t>
            </w:r>
            <w:r w:rsidRPr="00E73845">
              <w:rPr>
                <w:sz w:val="20"/>
                <w:szCs w:val="20"/>
              </w:rPr>
              <w:t>Csőhálózatok kialakítása, csőszerelvények műszaki állapota, folyamatábrák és kapcsolási rajzok azonosítása.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AE065A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Cső- és tartályszerelvén</w:t>
            </w:r>
            <w:r>
              <w:rPr>
                <w:sz w:val="20"/>
                <w:szCs w:val="20"/>
              </w:rPr>
              <w:t xml:space="preserve">yek ellenőrzése, karbantartása. </w:t>
            </w:r>
            <w:r w:rsidRPr="00E73845">
              <w:rPr>
                <w:sz w:val="20"/>
                <w:szCs w:val="20"/>
              </w:rPr>
              <w:t>Folyadékok szállítása csőhálózaton szivattyúval. A csővezeték szállítási tulajdonságainak vizsgálata: mennyiségi beállítások, nyomás- és nyomáskülönbség mérése, mennyiségmérő m</w:t>
            </w:r>
            <w:r>
              <w:rPr>
                <w:sz w:val="20"/>
                <w:szCs w:val="20"/>
              </w:rPr>
              <w:t xml:space="preserve">űszerek használata, pontossága. </w:t>
            </w:r>
            <w:r w:rsidRPr="00E73845">
              <w:rPr>
                <w:sz w:val="20"/>
                <w:szCs w:val="20"/>
              </w:rPr>
              <w:t>Folyadékszállító szivattyúk tulajdonságai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090A1B" w:rsidRPr="00AE065A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szállítási teljesítmény és a szivattyú hatásfok meghatározása mérési adatok alapján. Szivattyú azonosítása típusadatok alapján. Gépkata</w:t>
            </w:r>
            <w:r>
              <w:rPr>
                <w:sz w:val="20"/>
                <w:szCs w:val="20"/>
              </w:rPr>
              <w:t xml:space="preserve">lógusok és leírások használata. </w:t>
            </w:r>
            <w:r w:rsidRPr="00E73845">
              <w:rPr>
                <w:sz w:val="20"/>
                <w:szCs w:val="20"/>
              </w:rPr>
              <w:t>Egyéb áramlástechnikai gyakorlatok a képzőhely helyi adottságai, illetve a gyakorlati képzést biztosító külső vállalati partner lehetőségei alapján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4B0B" w:rsidRPr="00AE065A" w:rsidTr="0092422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E065A" w:rsidRDefault="00264B0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84" w:type="dxa"/>
            <w:vAlign w:val="center"/>
          </w:tcPr>
          <w:p w:rsidR="00264B0B" w:rsidRPr="00AE065A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Ipari hőcserélők kezelése, vizsgálata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264B0B" w:rsidRPr="00AE065A" w:rsidRDefault="00264B0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tanulók megismerik az elméletben tanult hőcserélő berendezések kezelését, biztonságos használatát.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Egyszerű ipari mérések segítségével tanulmányozzák a hőcserélőben lejátszódó folyamatokat, összehasonlítják az energia-változással kapcsolatos elméleti törvényszerűségekkel, megállapítják a berendezések működtetési tartományát, j</w:t>
            </w:r>
            <w:r>
              <w:rPr>
                <w:sz w:val="20"/>
                <w:szCs w:val="20"/>
              </w:rPr>
              <w:t xml:space="preserve">ellemző tulajdonságait. </w:t>
            </w:r>
            <w:r w:rsidRPr="00E73845">
              <w:rPr>
                <w:sz w:val="20"/>
                <w:szCs w:val="20"/>
              </w:rPr>
              <w:t>Hőcserélők szerkezete, szerelvényei, kapcsolódásuk a műveleti rendszer egyéb készülékeihez, azonosításuk a folyamatábrán.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Duplikátorok, folyadék hőcser</w:t>
            </w:r>
            <w:r>
              <w:rPr>
                <w:sz w:val="20"/>
                <w:szCs w:val="20"/>
              </w:rPr>
              <w:t xml:space="preserve">élők működtetése, fűtés, hűtés. </w:t>
            </w:r>
            <w:r w:rsidRPr="00E73845">
              <w:rPr>
                <w:sz w:val="20"/>
                <w:szCs w:val="20"/>
              </w:rPr>
              <w:t>Hőcserélők típusvizsgálatai. Anyagvezetési megoldások, halmazállapot-változás szerinti vizsgálatok.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Hőcserélők vizsgálata a hőátadás hatásfoka szempontjából. (Átlagos hőmérsékletkülönbség, elméleti anyagmérleg, hőátbocsátási eg</w:t>
            </w:r>
            <w:r>
              <w:rPr>
                <w:sz w:val="20"/>
                <w:szCs w:val="20"/>
              </w:rPr>
              <w:t xml:space="preserve">yüttható, kalorikus hatásfok.). </w:t>
            </w:r>
            <w:r w:rsidRPr="00E73845">
              <w:rPr>
                <w:sz w:val="20"/>
                <w:szCs w:val="20"/>
              </w:rPr>
              <w:t>Levegőmelegítő rendszerek (kaloriferek) működése, vizsgálatuk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levegő állapotváltozásának tanulmányozása a nedves levegő</w:t>
            </w:r>
            <w:r>
              <w:rPr>
                <w:sz w:val="20"/>
                <w:szCs w:val="20"/>
              </w:rPr>
              <w:t xml:space="preserve"> állapotdiagramja segítségével. </w:t>
            </w:r>
            <w:r w:rsidRPr="00E73845">
              <w:rPr>
                <w:sz w:val="20"/>
                <w:szCs w:val="20"/>
              </w:rPr>
              <w:t>Egyéb hőcserével kapcsolatos gyakorlatok a képzőhely helyi adottságai, illetve a gyakorlati képzést biztosító külső vállalati partner lehe</w:t>
            </w:r>
            <w:r>
              <w:rPr>
                <w:sz w:val="20"/>
                <w:szCs w:val="20"/>
              </w:rPr>
              <w:t>tőségei alapján.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Egyéb hőcserével kapcsolatos gyakorlatok a képzőhely helyi adottságai, illetve a gyakorlati képzést biztosító külső vállala</w:t>
            </w:r>
            <w:r>
              <w:rPr>
                <w:sz w:val="20"/>
                <w:szCs w:val="20"/>
              </w:rPr>
              <w:t>ti partner lehetőségei alapján.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4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 előkészítés, aprítás, keverés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A tanulók megismerik a legegyszerűbb anyag-előkészítő, aprító, oldó, keverő műveleteket és berendezéseiket. Meghatározzák az aprított szemcsés halmazok szemcseméret eloszlását, gyakorolják keverős készülékek feltöltését, ürítését, működtetését. Vizsgálják folyadékk</w:t>
            </w:r>
            <w:r>
              <w:rPr>
                <w:sz w:val="20"/>
                <w:szCs w:val="20"/>
              </w:rPr>
              <w:t xml:space="preserve">everők áramlási tulajdonságait. </w:t>
            </w:r>
            <w:r w:rsidRPr="00E73845">
              <w:rPr>
                <w:sz w:val="20"/>
                <w:szCs w:val="20"/>
              </w:rPr>
              <w:t>Anyag-előkészítő műveletek és eszközök.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924226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90A1B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Mintavételi gyakorlatok. </w:t>
            </w:r>
            <w:r w:rsidRPr="00E73845">
              <w:rPr>
                <w:sz w:val="20"/>
                <w:szCs w:val="20"/>
              </w:rPr>
              <w:t>Szitaelemzés módszerei, normális és a normálistól eltérő eloszlások. Szemcsés halm</w:t>
            </w:r>
            <w:r>
              <w:rPr>
                <w:sz w:val="20"/>
                <w:szCs w:val="20"/>
              </w:rPr>
              <w:t xml:space="preserve">az szemcseméretének vizsgálata. </w:t>
            </w:r>
            <w:r w:rsidRPr="00E73845">
              <w:rPr>
                <w:sz w:val="20"/>
                <w:szCs w:val="20"/>
              </w:rPr>
              <w:t>Ipari vagy laboratóriumi aprítógép (golyós vagy kalapácsos malom) működtetése. Biztonságtechnikai eszközök és</w:t>
            </w:r>
            <w:r>
              <w:rPr>
                <w:sz w:val="20"/>
                <w:szCs w:val="20"/>
              </w:rPr>
              <w:t xml:space="preserve"> szempontok. </w:t>
            </w:r>
            <w:r w:rsidRPr="00E73845">
              <w:rPr>
                <w:sz w:val="20"/>
                <w:szCs w:val="20"/>
              </w:rPr>
              <w:t>Keverős készülékek, autoklávok kezelése - feltöltés, leürítés.</w:t>
            </w:r>
          </w:p>
        </w:tc>
        <w:tc>
          <w:tcPr>
            <w:tcW w:w="845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090A1B" w:rsidRPr="00AE065A" w:rsidRDefault="00090A1B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924226" w:rsidRPr="00E73845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3845">
              <w:rPr>
                <w:sz w:val="20"/>
                <w:szCs w:val="20"/>
              </w:rPr>
              <w:t>Keverés, folyadékkeverők kezelése, indítása, l</w:t>
            </w:r>
            <w:r>
              <w:rPr>
                <w:sz w:val="20"/>
                <w:szCs w:val="20"/>
              </w:rPr>
              <w:t xml:space="preserve">eállítása, biztonságtechnikája. </w:t>
            </w:r>
            <w:r w:rsidRPr="00E73845">
              <w:rPr>
                <w:sz w:val="20"/>
                <w:szCs w:val="20"/>
              </w:rPr>
              <w:t>Keverőelemek ellenállásának és a keve</w:t>
            </w:r>
            <w:r>
              <w:rPr>
                <w:sz w:val="20"/>
                <w:szCs w:val="20"/>
              </w:rPr>
              <w:t xml:space="preserve">rés hatékonyságának vizsgálata. </w:t>
            </w:r>
            <w:r w:rsidRPr="00E73845">
              <w:rPr>
                <w:sz w:val="20"/>
                <w:szCs w:val="20"/>
              </w:rPr>
              <w:t>Egyéb aprítási és keverési gyakorlatok a képzőhely helyi adottságai, illetve a gyakorlati képzést biztosító külső vállalati partner lehetőségei alapján alapanyag gyártó, vegyi termékgyártó vagy gyógyszeripari üzemekben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84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Heterogén rendszerek mechanikus szétválasztása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924226" w:rsidRPr="001B71CD" w:rsidRDefault="00E73845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>A tanulók megismerik a szilárd-folyadék, és egymással nem elegyedő folyadék rendszerek mechanikus szétválasztásának gyakorlati módszereit és berendezéseit. Egyszerű ipari mérések segítségével tanulmányozzák az ülepítés és a szűrés folyamatát, a berendezések teljesítményének (teljesítőképességük) méréssel való meghatározásának lehetőségeit.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1B71CD" w:rsidRDefault="003A7AB0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>Mechanikai szétválasztó műveletek gyakorlati berendezései. A szétválasztás hatásfoka, a berendezések teljesítőképességének meghatározása. Ülepítők kezelése, működtetése. A derítési hatásfok vizsgálata, a leválasztható legkisebb szemcseméret meghatározása az áramlási tulajdonságokból számítással.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1B71CD" w:rsidRDefault="001B71C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>Szűrők kezelése, működése, szakaszos szűrők vizsgálata. A szűrés jellemző paramétereinek meghatározása méréssel, a berendezés működtetésének optimalizálása a szűrődiagram grafikus elemzése alapján. Centrifugák kezelése, működtetése, biztonságtechnikája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924226" w:rsidRPr="001B71CD" w:rsidRDefault="001B71C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>Egyéb ülepítési, szűrési vagy centrifugálási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4" w:type="dxa"/>
            <w:vAlign w:val="center"/>
          </w:tcPr>
          <w:p w:rsidR="00924226" w:rsidRPr="00EC548B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48B">
              <w:rPr>
                <w:sz w:val="20"/>
                <w:szCs w:val="20"/>
              </w:rPr>
              <w:t>Anyag</w:t>
            </w:r>
            <w:r w:rsidR="00EC548B">
              <w:rPr>
                <w:sz w:val="20"/>
                <w:szCs w:val="20"/>
              </w:rPr>
              <w:t>e</w:t>
            </w:r>
            <w:r w:rsidRPr="00EC548B">
              <w:rPr>
                <w:sz w:val="20"/>
                <w:szCs w:val="20"/>
              </w:rPr>
              <w:t>lválasztó műveletek gyakorlatai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924226" w:rsidRPr="001B71CD" w:rsidRDefault="001B71C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 xml:space="preserve">A tanulók megismerik a hő- vagy anyagátadási elven működő vegyipari berendezések kezelésének gyakorlatát. 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1B71CD" w:rsidRDefault="001B71C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71CD">
              <w:rPr>
                <w:sz w:val="20"/>
                <w:szCs w:val="20"/>
              </w:rPr>
              <w:t>Egyszerű méréseket végeznek az ipari vagy laboratóriumi bepárlás, kristályosítás, szárítás, desztilláció és extrakció témaköréből.</w:t>
            </w:r>
            <w:r w:rsidR="005E0873">
              <w:rPr>
                <w:sz w:val="20"/>
                <w:szCs w:val="20"/>
              </w:rPr>
              <w:t xml:space="preserve"> </w:t>
            </w:r>
            <w:r w:rsidRPr="001B71CD">
              <w:rPr>
                <w:sz w:val="20"/>
                <w:szCs w:val="20"/>
              </w:rPr>
              <w:t>Az anyagelválasztó műveletek főbb típusai</w:t>
            </w:r>
            <w:r>
              <w:rPr>
                <w:sz w:val="20"/>
                <w:szCs w:val="20"/>
              </w:rPr>
              <w:t xml:space="preserve">, berendezései és működtetésük. </w:t>
            </w:r>
            <w:r w:rsidRPr="001B71CD">
              <w:rPr>
                <w:sz w:val="20"/>
                <w:szCs w:val="20"/>
              </w:rPr>
              <w:t>Ipari vagy laboratóriumi (modell</w:t>
            </w:r>
            <w:r>
              <w:rPr>
                <w:sz w:val="20"/>
                <w:szCs w:val="20"/>
              </w:rPr>
              <w:t xml:space="preserve">) bepárlók működése, kezelésük. </w:t>
            </w:r>
            <w:r w:rsidRPr="001B71CD">
              <w:rPr>
                <w:sz w:val="20"/>
                <w:szCs w:val="20"/>
              </w:rPr>
              <w:t>Vákuum bepárlás, a nyomás ha</w:t>
            </w:r>
            <w:r>
              <w:rPr>
                <w:sz w:val="20"/>
                <w:szCs w:val="20"/>
              </w:rPr>
              <w:t xml:space="preserve">tása az oldatok forráspontjára. </w:t>
            </w:r>
            <w:r w:rsidRPr="001B71CD">
              <w:rPr>
                <w:sz w:val="20"/>
                <w:szCs w:val="20"/>
              </w:rPr>
              <w:t>Kristályosítási és szárítási gyakorlatok.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1B71C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Szárítás szárító szekrényben: a nedvesség v</w:t>
            </w:r>
            <w:r>
              <w:rPr>
                <w:sz w:val="20"/>
                <w:szCs w:val="20"/>
              </w:rPr>
              <w:t xml:space="preserve">áltozásának időbeli vizsgálata. </w:t>
            </w:r>
            <w:r w:rsidRPr="00815E7D">
              <w:rPr>
                <w:sz w:val="20"/>
                <w:szCs w:val="20"/>
              </w:rPr>
              <w:t>Szárítás meleg levegővel: a folyamat elemzése a l</w:t>
            </w:r>
            <w:r>
              <w:rPr>
                <w:sz w:val="20"/>
                <w:szCs w:val="20"/>
              </w:rPr>
              <w:t xml:space="preserve">evegő állapotváltozása alapján. </w:t>
            </w:r>
            <w:r w:rsidRPr="00815E7D">
              <w:rPr>
                <w:sz w:val="20"/>
                <w:szCs w:val="20"/>
              </w:rPr>
              <w:t xml:space="preserve">Desztillálás, ipari vagy laboratóriumi desztillálók működése és működtetése. Laboratóriumi desztillálók vizsgálata visszafolyó hűtő, vagy töltelékes feltét alkalmazásával. A desztilláló elméleti fokozatszámának meghatározása az egyensúlyi diagramon való szerkesztéssel a fejtermék és </w:t>
            </w:r>
            <w:r>
              <w:rPr>
                <w:sz w:val="20"/>
                <w:szCs w:val="20"/>
              </w:rPr>
              <w:t xml:space="preserve">a forraló hőmérséklete alapján. </w:t>
            </w:r>
            <w:r w:rsidRPr="00815E7D">
              <w:rPr>
                <w:sz w:val="20"/>
                <w:szCs w:val="20"/>
              </w:rPr>
              <w:t>Ipari desztillálók kezelése, atmoszférikus és vákuum lepárlás, a desztilláló anyag- és hőmérlegének ellenőrzése a mérési adatok alapján.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1B71C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Extrakciós gyakorlatok. Szilárd-folyadék vagy szolvens extrakció gyakorlata, oldószerei, készülékei és működtetésük. Az oldószerekkel való munkavégzés tűz</w:t>
            </w:r>
            <w:r>
              <w:rPr>
                <w:sz w:val="20"/>
                <w:szCs w:val="20"/>
              </w:rPr>
              <w:t xml:space="preserve">- és egészségvédelmi szabályai. </w:t>
            </w:r>
            <w:r w:rsidRPr="00815E7D">
              <w:rPr>
                <w:sz w:val="20"/>
                <w:szCs w:val="20"/>
              </w:rPr>
              <w:t>Egyéb anyagátadási berendezéseken végzett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924226" w:rsidRPr="001B71C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Egyéb anyagátadási berendezéseken végzett gyakorlatok a képzőhely helyi adottságai, illetve a gyakorlati képzést biztosító külső vállalati partner lehetőségei alapján alapanyag gyártó, vegyi termékgyártó vagy gyógyszeripari üzemekben.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4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Folyama</w:t>
            </w:r>
            <w:r w:rsidR="00C96A6A">
              <w:rPr>
                <w:sz w:val="20"/>
                <w:szCs w:val="20"/>
              </w:rPr>
              <w:t>tirányítási eszközök használata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tanulók megismerik a folyamatirányítás eszközeit, műszereit és a vegyipari eljárásokban alkalmazott rendszereket. Tanulmányozzák a vezérlés és a szabályozás eszközeit, egyszerű kapcsolásokat.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Folyamatirányító és mérési adatgyűjtő rendszerek típusai, kapcsolásuk, alkalmazásuk lehetősé</w:t>
            </w:r>
            <w:r>
              <w:rPr>
                <w:sz w:val="20"/>
                <w:szCs w:val="20"/>
              </w:rPr>
              <w:t xml:space="preserve">gei, számítógépes modellezésük. </w:t>
            </w:r>
            <w:r w:rsidR="005E0873">
              <w:rPr>
                <w:sz w:val="20"/>
                <w:szCs w:val="20"/>
              </w:rPr>
              <w:t>Folyadék</w:t>
            </w:r>
            <w:r w:rsidRPr="00815E7D">
              <w:rPr>
                <w:sz w:val="20"/>
                <w:szCs w:val="20"/>
              </w:rPr>
              <w:t>mennyiség mérése és szabályozása kapcsoló vagy vezérlő elemekke</w:t>
            </w:r>
            <w:r>
              <w:rPr>
                <w:sz w:val="20"/>
                <w:szCs w:val="20"/>
              </w:rPr>
              <w:t xml:space="preserve">l, illetve szabályozási körrel. </w:t>
            </w:r>
            <w:r w:rsidRPr="00815E7D">
              <w:rPr>
                <w:sz w:val="20"/>
                <w:szCs w:val="20"/>
              </w:rPr>
              <w:t>Hőmérsékletszabályozás termosztáttal, vezérlőkkel vagy szabályozási körrel.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Egyéb vezérlő vagy szabályozó rendszerek működtetése a képzőhely helyi adottságai, illetve a gyakorlati képzést biztosító külső vállala</w:t>
            </w:r>
            <w:r>
              <w:rPr>
                <w:sz w:val="20"/>
                <w:szCs w:val="20"/>
              </w:rPr>
              <w:t>ti partner lehetőségei alapján.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6A6A" w:rsidRPr="0073786C" w:rsidTr="00E73845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96A6A" w:rsidRPr="0073786C" w:rsidRDefault="00C96A6A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96A6A" w:rsidRPr="0073786C" w:rsidRDefault="00C96A6A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186</w:t>
            </w:r>
          </w:p>
        </w:tc>
        <w:tc>
          <w:tcPr>
            <w:tcW w:w="4784" w:type="dxa"/>
            <w:vAlign w:val="center"/>
          </w:tcPr>
          <w:p w:rsidR="00C96A6A" w:rsidRPr="0073786C" w:rsidRDefault="00C96A6A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Műszeres analitikai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C96A6A" w:rsidRPr="0073786C" w:rsidRDefault="00C96A6A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96A6A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96A6A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4" w:type="dxa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Bevezetés a műszeres analitikai laboratóriumi munkába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924226" w:rsidRPr="00815E7D" w:rsidRDefault="005E0873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laboratórium munka</w:t>
            </w:r>
            <w:r w:rsidR="00815E7D">
              <w:rPr>
                <w:sz w:val="20"/>
                <w:szCs w:val="20"/>
              </w:rPr>
              <w:t xml:space="preserve">rendje. </w:t>
            </w:r>
            <w:r w:rsidR="00815E7D" w:rsidRPr="00815E7D">
              <w:rPr>
                <w:sz w:val="20"/>
                <w:szCs w:val="20"/>
              </w:rPr>
              <w:t>Munka- és tűzvédelem, laboratóriumban használt eszközök, vegyszerek kezelése tárolása.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Eszközök, készü</w:t>
            </w:r>
            <w:r>
              <w:rPr>
                <w:sz w:val="20"/>
                <w:szCs w:val="20"/>
              </w:rPr>
              <w:t xml:space="preserve">lékek, berendezések tisztítása. </w:t>
            </w:r>
            <w:r w:rsidRPr="00815E7D">
              <w:rPr>
                <w:sz w:val="20"/>
                <w:szCs w:val="20"/>
              </w:rPr>
              <w:t>A szükséges védőfelszerelé</w:t>
            </w:r>
            <w:r>
              <w:rPr>
                <w:sz w:val="20"/>
                <w:szCs w:val="20"/>
              </w:rPr>
              <w:t xml:space="preserve">sek kiválasztása és használata. </w:t>
            </w:r>
            <w:r w:rsidRPr="00815E7D">
              <w:rPr>
                <w:sz w:val="20"/>
                <w:szCs w:val="20"/>
              </w:rPr>
              <w:t>Környezetvédelmi ismeretek,</w:t>
            </w:r>
            <w:r>
              <w:rPr>
                <w:sz w:val="20"/>
                <w:szCs w:val="20"/>
              </w:rPr>
              <w:t xml:space="preserve"> hulladékok szelektív kezelése. </w:t>
            </w:r>
            <w:r w:rsidRPr="00815E7D">
              <w:rPr>
                <w:sz w:val="20"/>
                <w:szCs w:val="20"/>
              </w:rPr>
              <w:t>Vegyipari folyamatok környezeti hatásai, a környezettudatosság gyakorlata.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6A6A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96A6A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4" w:type="dxa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Optikai mérések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fény és anyag kölcsönhatásának elmélete és felhaszná</w:t>
            </w:r>
            <w:r>
              <w:rPr>
                <w:sz w:val="20"/>
                <w:szCs w:val="20"/>
              </w:rPr>
              <w:t>lási területei az analitikában.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fény és anyag kölcsönhatásának elmélete és felhaszná</w:t>
            </w:r>
            <w:r>
              <w:rPr>
                <w:sz w:val="20"/>
                <w:szCs w:val="20"/>
              </w:rPr>
              <w:t>lási területei az analitikában. Refraktometria</w:t>
            </w:r>
            <w:r w:rsidR="005E0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 refraktometria alapelve. </w:t>
            </w:r>
            <w:r w:rsidRPr="00815E7D">
              <w:rPr>
                <w:sz w:val="20"/>
                <w:szCs w:val="20"/>
              </w:rPr>
              <w:t>A tör</w:t>
            </w:r>
            <w:r>
              <w:rPr>
                <w:sz w:val="20"/>
                <w:szCs w:val="20"/>
              </w:rPr>
              <w:t xml:space="preserve">ésmutatót befolyásoló tényezők. </w:t>
            </w:r>
            <w:r w:rsidRPr="00815E7D">
              <w:rPr>
                <w:sz w:val="20"/>
                <w:szCs w:val="20"/>
              </w:rPr>
              <w:t>Refraktométerek felépítése és használatuk.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 refraktométerrel. Polarimetria</w:t>
            </w:r>
            <w:r w:rsidR="005E08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15E7D">
              <w:rPr>
                <w:sz w:val="20"/>
                <w:szCs w:val="20"/>
              </w:rPr>
              <w:t>A polarimetria</w:t>
            </w:r>
            <w:r>
              <w:rPr>
                <w:sz w:val="20"/>
                <w:szCs w:val="20"/>
              </w:rPr>
              <w:t xml:space="preserve"> alapelve, a forgatás törvénye. </w:t>
            </w:r>
            <w:r w:rsidRPr="00815E7D">
              <w:rPr>
                <w:sz w:val="20"/>
                <w:szCs w:val="20"/>
              </w:rPr>
              <w:t>A forgatók</w:t>
            </w:r>
            <w:r>
              <w:rPr>
                <w:sz w:val="20"/>
                <w:szCs w:val="20"/>
              </w:rPr>
              <w:t xml:space="preserve">épességet befolyásoló tényezők. </w:t>
            </w:r>
            <w:r w:rsidRPr="00815E7D">
              <w:rPr>
                <w:sz w:val="20"/>
                <w:szCs w:val="20"/>
              </w:rPr>
              <w:t>A polariméterek felépítése és használatuk.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polariméterek felépítése és használatuk.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6A6A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96A6A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4" w:type="dxa"/>
            <w:vAlign w:val="center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Spektrofotometriás mérések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C96A6A" w:rsidRPr="00AE065A" w:rsidRDefault="00C96A6A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C96A6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fény és az anyagi rendszerek kölcsönha</w:t>
            </w:r>
            <w:r>
              <w:rPr>
                <w:sz w:val="20"/>
                <w:szCs w:val="20"/>
              </w:rPr>
              <w:t xml:space="preserve">tása. </w:t>
            </w:r>
            <w:r w:rsidRPr="00815E7D">
              <w:rPr>
                <w:sz w:val="20"/>
                <w:szCs w:val="20"/>
              </w:rPr>
              <w:t>Az elektromágn</w:t>
            </w:r>
            <w:r>
              <w:rPr>
                <w:sz w:val="20"/>
                <w:szCs w:val="20"/>
              </w:rPr>
              <w:t xml:space="preserve">eses hullámok teljes spektruma. </w:t>
            </w:r>
            <w:r w:rsidRPr="00815E7D">
              <w:rPr>
                <w:sz w:val="20"/>
                <w:szCs w:val="20"/>
              </w:rPr>
              <w:t>Fény emisszió és abszorpció fogalma.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 fényelnyelés törvényszerűsége</w:t>
            </w:r>
            <w:r>
              <w:rPr>
                <w:sz w:val="20"/>
                <w:szCs w:val="20"/>
              </w:rPr>
              <w:t xml:space="preserve">i, azok analitikai alkalmazása. </w:t>
            </w:r>
            <w:r w:rsidRPr="00815E7D">
              <w:rPr>
                <w:sz w:val="20"/>
                <w:szCs w:val="20"/>
              </w:rPr>
              <w:t>A spektro</w:t>
            </w:r>
            <w:r>
              <w:rPr>
                <w:sz w:val="20"/>
                <w:szCs w:val="20"/>
              </w:rPr>
              <w:t xml:space="preserve">fotometriás mérések felosztása. </w:t>
            </w:r>
            <w:r w:rsidRPr="00815E7D">
              <w:rPr>
                <w:sz w:val="20"/>
                <w:szCs w:val="20"/>
              </w:rPr>
              <w:t>A fotométerek felép</w:t>
            </w:r>
            <w:r w:rsidR="00B62C59">
              <w:rPr>
                <w:sz w:val="20"/>
                <w:szCs w:val="20"/>
              </w:rPr>
              <w:t>ítése, főbb részeinek ismerete.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Spektrofotometriás mérések.</w:t>
            </w:r>
            <w:r w:rsidR="005E08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Mérés UV-VIS tartományban. </w:t>
            </w:r>
            <w:r w:rsidRPr="00815E7D">
              <w:rPr>
                <w:sz w:val="20"/>
                <w:szCs w:val="20"/>
              </w:rPr>
              <w:t>Lángfotometriás módszerek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Az anyagok gerjesz</w:t>
            </w:r>
            <w:r>
              <w:rPr>
                <w:sz w:val="20"/>
                <w:szCs w:val="20"/>
              </w:rPr>
              <w:t xml:space="preserve">thetősége, gerjesztése lángban. A lángfotométer felépítése. Mérés lángfotométerrel. </w:t>
            </w:r>
            <w:r w:rsidRPr="00815E7D">
              <w:rPr>
                <w:sz w:val="20"/>
                <w:szCs w:val="20"/>
              </w:rPr>
              <w:t>Az atomabszorbciós mérési módszerek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815E7D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5E7D">
              <w:rPr>
                <w:sz w:val="20"/>
                <w:szCs w:val="20"/>
              </w:rPr>
              <w:t>Atomizá</w:t>
            </w:r>
            <w:r>
              <w:rPr>
                <w:sz w:val="20"/>
                <w:szCs w:val="20"/>
              </w:rPr>
              <w:t xml:space="preserve">lás lángban és grafitkályhában. </w:t>
            </w:r>
            <w:r w:rsidRPr="00815E7D">
              <w:rPr>
                <w:sz w:val="20"/>
                <w:szCs w:val="20"/>
              </w:rPr>
              <w:t>Atom</w:t>
            </w:r>
            <w:r>
              <w:rPr>
                <w:sz w:val="20"/>
                <w:szCs w:val="20"/>
              </w:rPr>
              <w:t xml:space="preserve">abszorbciós mérés végrehajtása. Infravörös spektroszkópia. </w:t>
            </w:r>
            <w:r w:rsidRPr="00815E7D">
              <w:rPr>
                <w:sz w:val="20"/>
                <w:szCs w:val="20"/>
              </w:rPr>
              <w:t>Az infravörös spektrum értékelésének szempontjai.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IR spektrumok értékelése. </w:t>
            </w:r>
            <w:r w:rsidRPr="003B5D8A">
              <w:rPr>
                <w:sz w:val="20"/>
                <w:szCs w:val="20"/>
              </w:rPr>
              <w:t>Eredmények dokumentálása, jegyzőkönyv készítése megadott szempontok szerint a mérésről.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84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Elektrokémiai mérések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3B5D8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A vezetők elektromos jellemzése</w:t>
            </w:r>
            <w:r w:rsidR="005E087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Az elekt</w:t>
            </w:r>
            <w:r>
              <w:rPr>
                <w:sz w:val="20"/>
                <w:szCs w:val="20"/>
              </w:rPr>
              <w:t>ródpotenciál fogalma és mérése.</w:t>
            </w:r>
            <w:r w:rsidR="005E0873">
              <w:rPr>
                <w:sz w:val="20"/>
                <w:szCs w:val="20"/>
              </w:rPr>
              <w:t xml:space="preserve"> </w:t>
            </w:r>
            <w:r w:rsidRPr="003B5D8A">
              <w:rPr>
                <w:sz w:val="20"/>
                <w:szCs w:val="20"/>
              </w:rPr>
              <w:t>Az elektromotoros erő fogalma.</w:t>
            </w:r>
            <w:r w:rsidR="005E0873">
              <w:rPr>
                <w:sz w:val="20"/>
                <w:szCs w:val="20"/>
              </w:rPr>
              <w:t xml:space="preserve"> </w:t>
            </w:r>
            <w:r w:rsidRPr="003B5D8A">
              <w:rPr>
                <w:sz w:val="20"/>
                <w:szCs w:val="20"/>
              </w:rPr>
              <w:t>Elektrokémiai pH-mérés konkrét gyakorlati feladatban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</w:rPr>
              <w:t>Ionszelektív elektródok működése. Halogenidek mérése ionszelektív elektróddal.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 xml:space="preserve">Potenciometrikus titrálás </w:t>
            </w:r>
            <w:r>
              <w:rPr>
                <w:sz w:val="20"/>
                <w:szCs w:val="20"/>
              </w:rPr>
              <w:t xml:space="preserve">(sav-bázis és redoxi titrálás). </w:t>
            </w:r>
            <w:r w:rsidRPr="003B5D8A">
              <w:rPr>
                <w:sz w:val="20"/>
                <w:szCs w:val="20"/>
              </w:rPr>
              <w:t>Titrálási görbe lefutása, a végpont meghatározás módszerei.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Potenciometrikus titrálás (sav-bázis titrálás) kivitelezése, a titrálási görbék lef</w:t>
            </w:r>
            <w:r>
              <w:rPr>
                <w:sz w:val="20"/>
                <w:szCs w:val="20"/>
              </w:rPr>
              <w:t xml:space="preserve">utása, a végpont meghatározása. </w:t>
            </w:r>
            <w:r w:rsidRPr="003B5D8A">
              <w:rPr>
                <w:sz w:val="20"/>
                <w:szCs w:val="20"/>
              </w:rPr>
              <w:t>Elektromos vezetés, fajlagos vezetés, vezetési cella.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815E7D" w:rsidRDefault="003B5D8A" w:rsidP="005E0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A veze</w:t>
            </w:r>
            <w:r>
              <w:rPr>
                <w:sz w:val="20"/>
                <w:szCs w:val="20"/>
              </w:rPr>
              <w:t xml:space="preserve">tési titrálás (konduktometria). </w:t>
            </w:r>
            <w:r w:rsidR="005E0873">
              <w:rPr>
                <w:sz w:val="20"/>
                <w:szCs w:val="20"/>
              </w:rPr>
              <w:t xml:space="preserve">A vezetési titrálás </w:t>
            </w:r>
            <w:r w:rsidRPr="003B5D8A">
              <w:rPr>
                <w:sz w:val="20"/>
                <w:szCs w:val="20"/>
              </w:rPr>
              <w:t>alkalmazása</w:t>
            </w:r>
            <w:r w:rsidR="005E08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konkrét gyakorlati feladatban. </w:t>
            </w:r>
            <w:r w:rsidRPr="003B5D8A">
              <w:rPr>
                <w:sz w:val="20"/>
                <w:szCs w:val="20"/>
              </w:rPr>
              <w:t>Eredmények dokumentálása, jegyzőkönyv készítése a mérésről.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3B5D8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924226" w:rsidRPr="00815E7D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Eredmények dokumentálása, jegyzőkönyv készítése a mérésről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4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Kromatográfiás eljáráson alapuló mérések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3B5D8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924226" w:rsidRPr="003B5D8A" w:rsidRDefault="003B5D8A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5D8A">
              <w:rPr>
                <w:sz w:val="20"/>
                <w:szCs w:val="20"/>
              </w:rPr>
              <w:t>A kromatográfia elve, a kromatográfiás módszerek felosztása.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gázkromatográfia (GC),</w:t>
            </w:r>
            <w:r>
              <w:rPr>
                <w:sz w:val="20"/>
                <w:szCs w:val="20"/>
              </w:rPr>
              <w:t xml:space="preserve"> a gázkromatográfiás jellemzők. </w:t>
            </w:r>
            <w:r w:rsidRPr="006844E7">
              <w:rPr>
                <w:sz w:val="20"/>
                <w:szCs w:val="20"/>
              </w:rPr>
              <w:t>A gázkromatográf felépítése.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4226" w:rsidRPr="00AE065A" w:rsidTr="00924226">
        <w:trPr>
          <w:trHeight w:val="794"/>
        </w:trPr>
        <w:tc>
          <w:tcPr>
            <w:tcW w:w="662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24226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24226" w:rsidRPr="006844E7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Vivőgáz, injektálás, gázkromatográfiás kolonná</w:t>
            </w:r>
            <w:r>
              <w:rPr>
                <w:sz w:val="20"/>
                <w:szCs w:val="20"/>
              </w:rPr>
              <w:t xml:space="preserve">k, detektorok fajtái, működése. </w:t>
            </w:r>
            <w:r w:rsidRPr="006844E7">
              <w:rPr>
                <w:sz w:val="20"/>
                <w:szCs w:val="20"/>
              </w:rPr>
              <w:t>GC alkalmazása adott analitikai vizsgálathoz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924226" w:rsidRPr="00AE065A" w:rsidRDefault="00924226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924226">
        <w:trPr>
          <w:trHeight w:val="794"/>
        </w:trPr>
        <w:tc>
          <w:tcPr>
            <w:tcW w:w="662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AD612C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gázkromatogram kiértékelése. </w:t>
            </w:r>
            <w:r w:rsidRPr="006844E7">
              <w:rPr>
                <w:sz w:val="20"/>
                <w:szCs w:val="20"/>
              </w:rPr>
              <w:t>Nagyhatékonyságú folyadékkromatográfia (HPLC).</w:t>
            </w:r>
          </w:p>
        </w:tc>
        <w:tc>
          <w:tcPr>
            <w:tcW w:w="845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924226">
        <w:trPr>
          <w:trHeight w:val="794"/>
        </w:trPr>
        <w:tc>
          <w:tcPr>
            <w:tcW w:w="662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AD612C" w:rsidRPr="006844E7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HPLC felépítése, folyadékkromatográfiás oszlopok, az injekt</w:t>
            </w:r>
            <w:r w:rsidR="00716EB0">
              <w:rPr>
                <w:sz w:val="20"/>
                <w:szCs w:val="20"/>
              </w:rPr>
              <w:t>álás</w:t>
            </w:r>
            <w:r w:rsidRPr="006844E7">
              <w:rPr>
                <w:sz w:val="20"/>
                <w:szCs w:val="20"/>
              </w:rPr>
              <w:t xml:space="preserve"> módja, az e</w:t>
            </w:r>
            <w:r>
              <w:rPr>
                <w:sz w:val="20"/>
                <w:szCs w:val="20"/>
              </w:rPr>
              <w:t xml:space="preserve">luens kiválasztása, detektálás. </w:t>
            </w:r>
            <w:r w:rsidRPr="006844E7">
              <w:rPr>
                <w:sz w:val="20"/>
                <w:szCs w:val="20"/>
              </w:rPr>
              <w:t>HPLC alkalmazása adott analitikai vizsgálathoz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924226">
        <w:trPr>
          <w:trHeight w:val="794"/>
        </w:trPr>
        <w:tc>
          <w:tcPr>
            <w:tcW w:w="662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AD612C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Vékonyréteg</w:t>
            </w:r>
            <w:r>
              <w:rPr>
                <w:sz w:val="20"/>
                <w:szCs w:val="20"/>
              </w:rPr>
              <w:t xml:space="preserve"> kromatográfia elve, jellemzői. </w:t>
            </w:r>
            <w:r w:rsidRPr="006844E7">
              <w:rPr>
                <w:sz w:val="20"/>
                <w:szCs w:val="20"/>
              </w:rPr>
              <w:t>VRK alkalmazása adott analitikai vizsgálathoz.</w:t>
            </w:r>
          </w:p>
        </w:tc>
        <w:tc>
          <w:tcPr>
            <w:tcW w:w="845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924226">
        <w:trPr>
          <w:trHeight w:val="794"/>
        </w:trPr>
        <w:tc>
          <w:tcPr>
            <w:tcW w:w="662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3B5D8A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</w:tcPr>
          <w:p w:rsidR="00AD612C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Eredmények dokumentálása, jegyzőkönyv készítése a mérésről.</w:t>
            </w:r>
          </w:p>
        </w:tc>
        <w:tc>
          <w:tcPr>
            <w:tcW w:w="845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4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Biológiai minták vizsgálata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612C" w:rsidRPr="00AE065A" w:rsidTr="00924226">
        <w:trPr>
          <w:trHeight w:val="794"/>
        </w:trPr>
        <w:tc>
          <w:tcPr>
            <w:tcW w:w="662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D612C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AD612C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Biológiai jellegű h</w:t>
            </w:r>
            <w:r>
              <w:rPr>
                <w:sz w:val="20"/>
                <w:szCs w:val="20"/>
              </w:rPr>
              <w:t xml:space="preserve">atóanyagok műszeres vizsgálata. </w:t>
            </w:r>
            <w:r w:rsidRPr="006844E7">
              <w:rPr>
                <w:sz w:val="20"/>
                <w:szCs w:val="20"/>
              </w:rPr>
              <w:t>Mikroszkópikus vizsgálatok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AD612C" w:rsidRPr="00AE065A" w:rsidRDefault="00AD612C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Biológiai jellegű h</w:t>
            </w:r>
            <w:r>
              <w:rPr>
                <w:sz w:val="20"/>
                <w:szCs w:val="20"/>
              </w:rPr>
              <w:t xml:space="preserve">atóanyagok műszeres vizsgálata. </w:t>
            </w:r>
            <w:r w:rsidRPr="006844E7">
              <w:rPr>
                <w:sz w:val="20"/>
                <w:szCs w:val="20"/>
              </w:rPr>
              <w:t>Mikroszkópikus vizsgálatok</w:t>
            </w:r>
            <w:r w:rsidR="00B62C59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Immunológiai vizsgálatokat.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73786C" w:rsidTr="00E73845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844E7" w:rsidRPr="0073786C" w:rsidRDefault="006844E7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844E7" w:rsidRPr="0073786C" w:rsidRDefault="006844E7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47</w:t>
            </w:r>
          </w:p>
        </w:tc>
        <w:tc>
          <w:tcPr>
            <w:tcW w:w="4784" w:type="dxa"/>
            <w:vAlign w:val="center"/>
          </w:tcPr>
          <w:p w:rsidR="006844E7" w:rsidRPr="0073786C" w:rsidRDefault="006844E7" w:rsidP="009174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786C">
              <w:rPr>
                <w:sz w:val="24"/>
                <w:szCs w:val="24"/>
              </w:rPr>
              <w:t>Mérések adatfeldolgozási gyakorlata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6844E7" w:rsidRPr="0073786C" w:rsidRDefault="006844E7" w:rsidP="009174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44E7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4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Mérési adatok rögzítése, dokumentálása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tanulók megismerik a mérési adatok felvételének módját, a hagyományos (papíralapú) táblázatkészítés főbb elv</w:t>
            </w:r>
            <w:r>
              <w:rPr>
                <w:sz w:val="20"/>
                <w:szCs w:val="20"/>
              </w:rPr>
              <w:t xml:space="preserve">eit, szempontjait, gyakorlatát. </w:t>
            </w:r>
            <w:r w:rsidRPr="006844E7">
              <w:rPr>
                <w:sz w:val="20"/>
                <w:szCs w:val="20"/>
              </w:rPr>
              <w:t>Mérési adatok fogalma, adatrögzítő táblázat készítésének szempontjai, a reprodukálhatóság, mint adatrögzítési kritérium, feladatai.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táblázat oszlopai és sorai, mért és számított adatok rendszere, mértékegységek</w:t>
            </w:r>
            <w:r>
              <w:rPr>
                <w:sz w:val="20"/>
                <w:szCs w:val="20"/>
              </w:rPr>
              <w:t xml:space="preserve"> és átszámításuk a táblázatban. </w:t>
            </w:r>
            <w:r w:rsidRPr="006844E7">
              <w:rPr>
                <w:sz w:val="20"/>
                <w:szCs w:val="20"/>
              </w:rPr>
              <w:t>A mérési ered</w:t>
            </w:r>
            <w:r>
              <w:rPr>
                <w:sz w:val="20"/>
                <w:szCs w:val="20"/>
              </w:rPr>
              <w:t xml:space="preserve">mények értékelésének módszerei. </w:t>
            </w:r>
            <w:r w:rsidRPr="006844E7">
              <w:rPr>
                <w:sz w:val="20"/>
                <w:szCs w:val="20"/>
              </w:rPr>
              <w:t>Mérési adatok statisztikai értékelése, mérési átlagok, hibák. Az adatok s</w:t>
            </w:r>
            <w:r>
              <w:rPr>
                <w:sz w:val="20"/>
                <w:szCs w:val="20"/>
              </w:rPr>
              <w:t>zórása.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4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Táblázatkezelő rendszerek használata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Táblázatkezelők célja, típusai, ha</w:t>
            </w:r>
            <w:r>
              <w:rPr>
                <w:sz w:val="20"/>
                <w:szCs w:val="20"/>
              </w:rPr>
              <w:t xml:space="preserve">sználatuk. </w:t>
            </w:r>
            <w:r w:rsidRPr="006844E7">
              <w:rPr>
                <w:sz w:val="20"/>
                <w:szCs w:val="20"/>
              </w:rPr>
              <w:t>Adatok rögzítése a táblázat celláiban, műveletek a cellákban lévő adattartalommal, kép</w:t>
            </w:r>
            <w:r>
              <w:rPr>
                <w:sz w:val="20"/>
                <w:szCs w:val="20"/>
              </w:rPr>
              <w:t xml:space="preserve">letek és függvények használata. </w:t>
            </w:r>
            <w:r w:rsidRPr="006844E7">
              <w:rPr>
                <w:sz w:val="20"/>
                <w:szCs w:val="20"/>
              </w:rPr>
              <w:t>Mérési adatok táblázatos rögzítése, a mérési adatokat tartalmazó táblázat (munk</w:t>
            </w:r>
            <w:r>
              <w:rPr>
                <w:sz w:val="20"/>
                <w:szCs w:val="20"/>
              </w:rPr>
              <w:t xml:space="preserve">alap) kialakításának szabályai. </w:t>
            </w:r>
            <w:r w:rsidRPr="006844E7">
              <w:rPr>
                <w:sz w:val="20"/>
                <w:szCs w:val="20"/>
              </w:rPr>
              <w:t>Adatbázis kezelési elvek alkalmazása táblázatkezelőben. Mezők és rekordok fogalma, létrehozás</w:t>
            </w:r>
            <w:r>
              <w:rPr>
                <w:sz w:val="20"/>
                <w:szCs w:val="20"/>
              </w:rPr>
              <w:t xml:space="preserve">a, a cellatartalom definiálása. </w:t>
            </w:r>
            <w:r w:rsidRPr="006844E7">
              <w:rPr>
                <w:sz w:val="20"/>
                <w:szCs w:val="20"/>
              </w:rPr>
              <w:t>Eredményoszlopok létrehozása képletek és függvén</w:t>
            </w:r>
            <w:r>
              <w:rPr>
                <w:sz w:val="20"/>
                <w:szCs w:val="20"/>
              </w:rPr>
              <w:t xml:space="preserve">yek felhasználásával. </w:t>
            </w:r>
            <w:r w:rsidRPr="006844E7">
              <w:rPr>
                <w:sz w:val="20"/>
                <w:szCs w:val="20"/>
              </w:rPr>
              <w:t>Cellák, tömbök, kijelölések másolása, cellahivatkozások, relatív és</w:t>
            </w:r>
            <w:r>
              <w:rPr>
                <w:sz w:val="20"/>
                <w:szCs w:val="20"/>
              </w:rPr>
              <w:t xml:space="preserve"> abszolút hivatkozás. </w:t>
            </w:r>
            <w:r w:rsidRPr="006844E7">
              <w:rPr>
                <w:sz w:val="20"/>
                <w:szCs w:val="20"/>
              </w:rPr>
              <w:t>Kapcsolat létesítése adatbázis táblák között. Egyszerű kapcsolatok, irányított legördülő listák. Kémiai anyagtáblázat</w:t>
            </w:r>
            <w:r>
              <w:rPr>
                <w:sz w:val="20"/>
                <w:szCs w:val="20"/>
              </w:rPr>
              <w:t xml:space="preserve">ok alkalmazása a számításokhoz. </w:t>
            </w:r>
            <w:r w:rsidRPr="006844E7">
              <w:rPr>
                <w:sz w:val="20"/>
                <w:szCs w:val="20"/>
              </w:rPr>
              <w:t>Kapcsolat munkalapok között.</w:t>
            </w:r>
            <w:r>
              <w:rPr>
                <w:sz w:val="20"/>
                <w:szCs w:val="20"/>
              </w:rPr>
              <w:t xml:space="preserve"> Hivatkozás táblák létrehozása.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Kémiai anyagtáblázat</w:t>
            </w:r>
            <w:r>
              <w:rPr>
                <w:sz w:val="20"/>
                <w:szCs w:val="20"/>
              </w:rPr>
              <w:t xml:space="preserve">ok alkalmazása a számításokhoz. </w:t>
            </w:r>
            <w:r w:rsidRPr="006844E7">
              <w:rPr>
                <w:sz w:val="20"/>
                <w:szCs w:val="20"/>
              </w:rPr>
              <w:t>Kapcsolat munkalapok között. Hivatkozás táblák létrehozása.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4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Mérési eredmények grafikus ábrázolása 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tanulók megismerik a legfontosabb diagram típusokat, papíralapú szerkesztésük és számítóg</w:t>
            </w:r>
            <w:r>
              <w:rPr>
                <w:sz w:val="20"/>
                <w:szCs w:val="20"/>
              </w:rPr>
              <w:t xml:space="preserve">épes szerkesztésük gyakorlatát. </w:t>
            </w:r>
            <w:r w:rsidRPr="006844E7">
              <w:rPr>
                <w:sz w:val="20"/>
                <w:szCs w:val="20"/>
              </w:rPr>
              <w:t>Mérési eredmények grafikus ábrázolás</w:t>
            </w:r>
            <w:r>
              <w:rPr>
                <w:sz w:val="20"/>
                <w:szCs w:val="20"/>
              </w:rPr>
              <w:t xml:space="preserve">a, diagramtípusok. </w:t>
            </w:r>
            <w:r w:rsidRPr="006844E7">
              <w:rPr>
                <w:sz w:val="20"/>
                <w:szCs w:val="20"/>
              </w:rPr>
              <w:t>Lineáris és logaritmikus diagramok, transzformációs é</w:t>
            </w:r>
            <w:r>
              <w:rPr>
                <w:sz w:val="20"/>
                <w:szCs w:val="20"/>
              </w:rPr>
              <w:t xml:space="preserve">s nullpont-eltolásos módszerek. </w:t>
            </w:r>
            <w:r w:rsidRPr="006844E7">
              <w:rPr>
                <w:sz w:val="20"/>
                <w:szCs w:val="20"/>
              </w:rPr>
              <w:t xml:space="preserve">Diagramtípusok kiválasztása a feladat, illetve a közölt </w:t>
            </w:r>
            <w:bookmarkStart w:id="0" w:name="_GoBack"/>
            <w:bookmarkEnd w:id="0"/>
            <w:r w:rsidR="00B62C59" w:rsidRPr="006844E7">
              <w:rPr>
                <w:sz w:val="20"/>
                <w:szCs w:val="20"/>
              </w:rPr>
              <w:t>tájékoztatás</w:t>
            </w:r>
            <w:r w:rsidRPr="006844E7">
              <w:rPr>
                <w:sz w:val="20"/>
                <w:szCs w:val="20"/>
              </w:rPr>
              <w:t xml:space="preserve"> jellege alapján. Műs</w:t>
            </w:r>
            <w:r>
              <w:rPr>
                <w:sz w:val="20"/>
                <w:szCs w:val="20"/>
              </w:rPr>
              <w:t xml:space="preserve">zaki és statisztikai diagramok. </w:t>
            </w:r>
            <w:r w:rsidRPr="006844E7">
              <w:rPr>
                <w:sz w:val="20"/>
                <w:szCs w:val="20"/>
              </w:rPr>
              <w:t>Diagramtípus hozzárendelése mérési adat- vagy eredmény oszlophoz táblázatkezelő rendszerben. Az adatforrások beállítása, módosítása.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Függvényillesztés pontokhoz. A regresszió fogalma, módszerei, táblázatkezelők automat</w:t>
            </w:r>
            <w:r>
              <w:rPr>
                <w:sz w:val="20"/>
                <w:szCs w:val="20"/>
              </w:rPr>
              <w:t xml:space="preserve">ikus regressziós szolgáltatása. </w:t>
            </w:r>
            <w:r w:rsidRPr="006844E7">
              <w:rPr>
                <w:sz w:val="20"/>
                <w:szCs w:val="20"/>
              </w:rPr>
              <w:t>A kiválasztott regressziós függvény kritikai értékelése a folyamat ismert</w:t>
            </w:r>
            <w:r>
              <w:rPr>
                <w:sz w:val="20"/>
                <w:szCs w:val="20"/>
              </w:rPr>
              <w:t xml:space="preserve"> matematikai jellemzői alapján. </w:t>
            </w:r>
            <w:r w:rsidRPr="006844E7">
              <w:rPr>
                <w:sz w:val="20"/>
                <w:szCs w:val="20"/>
              </w:rPr>
              <w:t>Számítógéppel támogatott hibaszámítási eljárások.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E73845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4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eszközök alkalmazása, adatcsere programok között</w:t>
            </w:r>
          </w:p>
        </w:tc>
        <w:tc>
          <w:tcPr>
            <w:tcW w:w="3147" w:type="dxa"/>
            <w:gridSpan w:val="3"/>
            <w:shd w:val="clear" w:color="auto" w:fill="BFBFBF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 tanulók megismerik az Office eszközök (elsősorban a szövegszerkesztő és a táblázatkezelő alkalmazások) programozá</w:t>
            </w:r>
            <w:r>
              <w:rPr>
                <w:sz w:val="20"/>
                <w:szCs w:val="20"/>
              </w:rPr>
              <w:t xml:space="preserve">sának alapelveit, lehetőségeit. </w:t>
            </w:r>
            <w:r w:rsidRPr="006844E7">
              <w:rPr>
                <w:sz w:val="20"/>
                <w:szCs w:val="20"/>
              </w:rPr>
              <w:t>Az Office eszközök kapcsolata, adatátvitel az alkalmazások között.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Adatmásolás, beillesztés, hivatkozás, csatolás. Az OLE objektumok ha</w:t>
            </w:r>
            <w:r>
              <w:rPr>
                <w:sz w:val="20"/>
                <w:szCs w:val="20"/>
              </w:rPr>
              <w:t xml:space="preserve">sználatának elve és gyakorlata. </w:t>
            </w:r>
            <w:r w:rsidRPr="006844E7">
              <w:rPr>
                <w:sz w:val="20"/>
                <w:szCs w:val="20"/>
              </w:rPr>
              <w:t>Képek, mérési táblázatok és diagramok beille</w:t>
            </w:r>
            <w:r>
              <w:rPr>
                <w:sz w:val="20"/>
                <w:szCs w:val="20"/>
              </w:rPr>
              <w:t xml:space="preserve">sztése szöveges </w:t>
            </w:r>
            <w:r>
              <w:rPr>
                <w:sz w:val="20"/>
                <w:szCs w:val="20"/>
              </w:rPr>
              <w:lastRenderedPageBreak/>
              <w:t xml:space="preserve">dokumentációba. </w:t>
            </w:r>
            <w:r w:rsidRPr="006844E7">
              <w:rPr>
                <w:sz w:val="20"/>
                <w:szCs w:val="20"/>
              </w:rPr>
              <w:t>Adatelemzés eszközei, hi</w:t>
            </w:r>
            <w:r>
              <w:rPr>
                <w:sz w:val="20"/>
                <w:szCs w:val="20"/>
              </w:rPr>
              <w:t xml:space="preserve">vatkozási táblázatok készítése. Adatbeviteli űrlapok készítése. </w:t>
            </w:r>
            <w:r w:rsidRPr="006844E7">
              <w:rPr>
                <w:sz w:val="20"/>
                <w:szCs w:val="20"/>
              </w:rPr>
              <w:t>Közösen használt adattáblázatok, mérési adatfeldolgozók. A felhőtechnika alkalma</w:t>
            </w:r>
            <w:r>
              <w:rPr>
                <w:sz w:val="20"/>
                <w:szCs w:val="20"/>
              </w:rPr>
              <w:t xml:space="preserve">zása megosztott adatkezelésnél. </w:t>
            </w:r>
            <w:r w:rsidRPr="006844E7">
              <w:rPr>
                <w:sz w:val="20"/>
                <w:szCs w:val="20"/>
              </w:rPr>
              <w:t>Műszaki dokumentáció számítógépes támogatása, készítése.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44E7" w:rsidRPr="00AE065A" w:rsidTr="00924226">
        <w:trPr>
          <w:trHeight w:val="794"/>
        </w:trPr>
        <w:tc>
          <w:tcPr>
            <w:tcW w:w="662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844E7" w:rsidRPr="00924226" w:rsidRDefault="006844E7" w:rsidP="009174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4" w:type="dxa"/>
          </w:tcPr>
          <w:p w:rsidR="006844E7" w:rsidRPr="003B5D8A" w:rsidRDefault="006844E7" w:rsidP="009174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844E7">
              <w:rPr>
                <w:sz w:val="20"/>
                <w:szCs w:val="20"/>
              </w:rPr>
              <w:t>Valódi adatbázis kezelő programok jellemzői, használatuk.</w:t>
            </w:r>
          </w:p>
        </w:tc>
        <w:tc>
          <w:tcPr>
            <w:tcW w:w="845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6844E7" w:rsidRPr="00AE065A" w:rsidRDefault="006844E7" w:rsidP="009174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3786C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F3" w:rsidRDefault="00164AF3" w:rsidP="00B2485D">
      <w:r>
        <w:separator/>
      </w:r>
    </w:p>
  </w:endnote>
  <w:endnote w:type="continuationSeparator" w:id="1">
    <w:p w:rsidR="00164AF3" w:rsidRDefault="00164AF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73786C" w:rsidRDefault="00395B9E">
        <w:pPr>
          <w:pStyle w:val="llb"/>
          <w:jc w:val="center"/>
        </w:pPr>
        <w:fldSimple w:instr="PAGE   \* MERGEFORMAT">
          <w:r w:rsidR="008D5A16">
            <w:rPr>
              <w:noProof/>
            </w:rPr>
            <w:t>11</w:t>
          </w:r>
        </w:fldSimple>
      </w:p>
      <w:p w:rsidR="0073786C" w:rsidRDefault="0073786C" w:rsidP="00840500">
        <w:pPr>
          <w:pStyle w:val="llb"/>
          <w:jc w:val="center"/>
        </w:pPr>
        <w:r>
          <w:t>5452403.14evf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F3" w:rsidRDefault="00164AF3" w:rsidP="00B2485D">
      <w:r>
        <w:separator/>
      </w:r>
    </w:p>
  </w:footnote>
  <w:footnote w:type="continuationSeparator" w:id="1">
    <w:p w:rsidR="00164AF3" w:rsidRDefault="00164AF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6C" w:rsidRPr="00340762" w:rsidRDefault="0073786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69A"/>
    <w:multiLevelType w:val="hybridMultilevel"/>
    <w:tmpl w:val="8B8C13F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1411B8"/>
    <w:rsid w:val="00164A00"/>
    <w:rsid w:val="00164AF3"/>
    <w:rsid w:val="00183A93"/>
    <w:rsid w:val="001B71CD"/>
    <w:rsid w:val="001C3717"/>
    <w:rsid w:val="00207A16"/>
    <w:rsid w:val="00264B0B"/>
    <w:rsid w:val="002B6D9D"/>
    <w:rsid w:val="002E6AD5"/>
    <w:rsid w:val="00330B7C"/>
    <w:rsid w:val="00340762"/>
    <w:rsid w:val="0035197E"/>
    <w:rsid w:val="00395B9E"/>
    <w:rsid w:val="003A3CDC"/>
    <w:rsid w:val="003A7AB0"/>
    <w:rsid w:val="003B5D8A"/>
    <w:rsid w:val="003F3D20"/>
    <w:rsid w:val="00416454"/>
    <w:rsid w:val="00424FB3"/>
    <w:rsid w:val="004C7770"/>
    <w:rsid w:val="004F3AF4"/>
    <w:rsid w:val="00512211"/>
    <w:rsid w:val="00567BE7"/>
    <w:rsid w:val="005E0873"/>
    <w:rsid w:val="005F1E25"/>
    <w:rsid w:val="006844E7"/>
    <w:rsid w:val="006C591C"/>
    <w:rsid w:val="00703883"/>
    <w:rsid w:val="00716EB0"/>
    <w:rsid w:val="0073786C"/>
    <w:rsid w:val="0078544C"/>
    <w:rsid w:val="007E05E3"/>
    <w:rsid w:val="00815E7D"/>
    <w:rsid w:val="00840500"/>
    <w:rsid w:val="008621EF"/>
    <w:rsid w:val="008C0910"/>
    <w:rsid w:val="008D5A16"/>
    <w:rsid w:val="008F034E"/>
    <w:rsid w:val="009174C9"/>
    <w:rsid w:val="00924226"/>
    <w:rsid w:val="00971AB4"/>
    <w:rsid w:val="009E2592"/>
    <w:rsid w:val="009F0791"/>
    <w:rsid w:val="009F40EE"/>
    <w:rsid w:val="00A87D59"/>
    <w:rsid w:val="00A94536"/>
    <w:rsid w:val="00AA2B5E"/>
    <w:rsid w:val="00AB22E3"/>
    <w:rsid w:val="00AD612C"/>
    <w:rsid w:val="00AE065A"/>
    <w:rsid w:val="00B03D8D"/>
    <w:rsid w:val="00B2485D"/>
    <w:rsid w:val="00B543A3"/>
    <w:rsid w:val="00B62C59"/>
    <w:rsid w:val="00BF7A62"/>
    <w:rsid w:val="00C6286A"/>
    <w:rsid w:val="00C96A6A"/>
    <w:rsid w:val="00CA663C"/>
    <w:rsid w:val="00CA759C"/>
    <w:rsid w:val="00D07254"/>
    <w:rsid w:val="00D11A9D"/>
    <w:rsid w:val="00D93ACD"/>
    <w:rsid w:val="00DC4068"/>
    <w:rsid w:val="00DD7EBB"/>
    <w:rsid w:val="00DE6760"/>
    <w:rsid w:val="00E31BD6"/>
    <w:rsid w:val="00E73845"/>
    <w:rsid w:val="00EC548B"/>
    <w:rsid w:val="00F22839"/>
    <w:rsid w:val="00F64AD2"/>
    <w:rsid w:val="00FF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8544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8544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8544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8544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8544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8544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854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8544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8544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8544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8544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5D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2441</Words>
  <Characters>16844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2017-10-13T20:17:00Z</dcterms:created>
  <dcterms:modified xsi:type="dcterms:W3CDTF">2017-10-13T20:17:00Z</dcterms:modified>
</cp:coreProperties>
</file>